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keepNext w:val="0"/>
        <w:keepLines w:val="0"/>
        <w:pageBreakBefore w:val="0"/>
        <w:widowControl/>
        <w:kinsoku/>
        <w:wordWrap/>
        <w:overflowPunct/>
        <w:topLinePunct w:val="0"/>
        <w:autoSpaceDE/>
        <w:autoSpaceDN/>
        <w:bidi w:val="0"/>
        <w:adjustRightInd/>
        <w:spacing w:line="300" w:lineRule="auto"/>
        <w:jc w:val="center"/>
        <w:textAlignment w:val="auto"/>
        <w:rPr>
          <w:rFonts w:hint="eastAsia" w:ascii="黑体" w:eastAsia="黑体"/>
          <w:b w:val="0"/>
          <w:bCs w:val="0"/>
          <w:kern w:val="2"/>
          <w:sz w:val="36"/>
          <w:szCs w:val="36"/>
          <w:lang w:val="en-US" w:eastAsia="zh-CN"/>
        </w:rPr>
      </w:pPr>
      <w:bookmarkStart w:id="0" w:name="_GoBack"/>
      <w:bookmarkEnd w:id="0"/>
      <w:r>
        <w:rPr>
          <w:rFonts w:hint="eastAsia" w:ascii="黑体" w:hAnsi="Times New Roman" w:eastAsia="黑体"/>
          <w:bCs w:val="0"/>
          <w:kern w:val="2"/>
          <w:sz w:val="36"/>
          <w:szCs w:val="36"/>
        </w:rPr>
        <w:t>中国农业银行商户</w:t>
      </w:r>
      <w:r>
        <w:rPr>
          <w:rFonts w:hint="eastAsia" w:ascii="黑体" w:hAnsi="Times New Roman" w:eastAsia="黑体"/>
          <w:bCs w:val="0"/>
          <w:kern w:val="2"/>
          <w:sz w:val="36"/>
          <w:szCs w:val="36"/>
          <w:lang w:val="en-US" w:eastAsia="zh-CN"/>
        </w:rPr>
        <w:t>“惠存会省2.0”活动告知书</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尊敬的</w:t>
      </w:r>
      <w:r>
        <w:rPr>
          <w:rFonts w:hint="eastAsia" w:ascii="宋体" w:hAnsi="宋体" w:eastAsia="宋体" w:cs="宋体"/>
          <w:sz w:val="21"/>
          <w:szCs w:val="21"/>
          <w:highlight w:val="none"/>
          <w:lang w:eastAsia="zh-CN"/>
        </w:rPr>
        <w:t>商户</w:t>
      </w:r>
      <w:r>
        <w:rPr>
          <w:rFonts w:hint="eastAsia" w:ascii="宋体" w:hAnsi="宋体" w:eastAsia="宋体" w:cs="宋体"/>
          <w:sz w:val="21"/>
          <w:szCs w:val="21"/>
          <w:highlight w:val="none"/>
        </w:rPr>
        <w:t>：</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eastAsia="zh-CN"/>
        </w:rPr>
        <w:t>感谢您选择使用中国农业银行聚合收款码。为促进贵单位与农业银行的合作发展，农业银行特向贵单位介绍</w:t>
      </w:r>
      <w:r>
        <w:rPr>
          <w:rFonts w:hint="eastAsia" w:ascii="宋体" w:hAnsi="宋体" w:eastAsia="宋体" w:cs="宋体"/>
          <w:szCs w:val="21"/>
          <w:highlight w:val="none"/>
          <w:lang w:eastAsia="zh-CN"/>
        </w:rPr>
        <w:t>“惠存会省</w:t>
      </w:r>
      <w:r>
        <w:rPr>
          <w:rFonts w:hint="eastAsia" w:ascii="宋体" w:hAnsi="宋体" w:eastAsia="宋体" w:cs="宋体"/>
          <w:szCs w:val="21"/>
          <w:highlight w:val="none"/>
          <w:lang w:val="en-US" w:eastAsia="zh-CN"/>
        </w:rPr>
        <w:t>2.0</w:t>
      </w:r>
      <w:r>
        <w:rPr>
          <w:rFonts w:hint="eastAsia" w:ascii="宋体" w:hAnsi="宋体" w:eastAsia="宋体" w:cs="宋体"/>
          <w:szCs w:val="21"/>
          <w:highlight w:val="none"/>
          <w:lang w:eastAsia="zh-CN"/>
        </w:rPr>
        <w:t>”</w:t>
      </w:r>
      <w:r>
        <w:rPr>
          <w:rFonts w:hint="eastAsia" w:ascii="宋体" w:hAnsi="宋体" w:eastAsia="宋体" w:cs="宋体"/>
          <w:sz w:val="21"/>
          <w:szCs w:val="21"/>
          <w:highlight w:val="none"/>
          <w:lang w:eastAsia="zh-CN"/>
        </w:rPr>
        <w:t>活动。活动内容具体如下：</w:t>
      </w:r>
    </w:p>
    <w:p>
      <w:pPr>
        <w:keepNext w:val="0"/>
        <w:keepLines w:val="0"/>
        <w:pageBreakBefore w:val="0"/>
        <w:numPr>
          <w:ilvl w:val="0"/>
          <w:numId w:val="0"/>
        </w:numPr>
        <w:kinsoku/>
        <w:wordWrap/>
        <w:overflowPunct/>
        <w:topLinePunct w:val="0"/>
        <w:autoSpaceDE/>
        <w:autoSpaceDN/>
        <w:bidi w:val="0"/>
        <w:adjustRightInd/>
        <w:spacing w:line="360" w:lineRule="auto"/>
        <w:ind w:firstLine="422" w:firstLineChars="200"/>
        <w:textAlignment w:val="auto"/>
        <w:rPr>
          <w:rFonts w:hint="eastAsia" w:ascii="宋体" w:hAnsi="宋体" w:eastAsia="宋体" w:cs="宋体"/>
          <w:b/>
          <w:bCs w:val="0"/>
          <w:kern w:val="0"/>
          <w:sz w:val="21"/>
          <w:szCs w:val="21"/>
          <w:highlight w:val="none"/>
        </w:rPr>
      </w:pPr>
      <w:r>
        <w:rPr>
          <w:rFonts w:hint="eastAsia" w:ascii="宋体" w:hAnsi="宋体" w:eastAsia="宋体" w:cs="宋体"/>
          <w:b/>
          <w:bCs w:val="0"/>
          <w:kern w:val="0"/>
          <w:sz w:val="21"/>
          <w:szCs w:val="21"/>
          <w:highlight w:val="none"/>
          <w:lang w:val="en-US" w:eastAsia="zh-CN"/>
        </w:rPr>
        <w:t>一、</w:t>
      </w:r>
      <w:r>
        <w:rPr>
          <w:rFonts w:hint="eastAsia" w:ascii="宋体" w:hAnsi="宋体" w:eastAsia="宋体" w:cs="宋体"/>
          <w:b/>
          <w:bCs w:val="0"/>
          <w:kern w:val="0"/>
          <w:sz w:val="21"/>
          <w:szCs w:val="21"/>
          <w:highlight w:val="none"/>
          <w:lang w:eastAsia="zh-CN"/>
        </w:rPr>
        <w:t>定义</w:t>
      </w:r>
    </w:p>
    <w:p>
      <w:pPr>
        <w:keepNext w:val="0"/>
        <w:keepLines w:val="0"/>
        <w:pageBreakBefore w:val="0"/>
        <w:numPr>
          <w:ilvl w:val="0"/>
          <w:numId w:val="0"/>
        </w:numPr>
        <w:kinsoku/>
        <w:wordWrap/>
        <w:overflowPunct/>
        <w:topLinePunct w:val="0"/>
        <w:autoSpaceDE/>
        <w:autoSpaceDN/>
        <w:bidi w:val="0"/>
        <w:adjustRightInd/>
        <w:spacing w:line="360" w:lineRule="auto"/>
        <w:ind w:firstLine="420" w:firstLineChars="200"/>
        <w:textAlignment w:val="auto"/>
        <w:rPr>
          <w:rFonts w:hint="eastAsia" w:ascii="宋体" w:hAnsi="宋体" w:eastAsia="宋体" w:cs="宋体"/>
          <w:bCs/>
          <w:kern w:val="0"/>
          <w:sz w:val="21"/>
          <w:szCs w:val="21"/>
          <w:highlight w:val="none"/>
          <w:lang w:val="en-US" w:eastAsia="zh-CN"/>
        </w:rPr>
      </w:pPr>
      <w:r>
        <w:rPr>
          <w:rFonts w:hint="eastAsia" w:ascii="宋体" w:hAnsi="宋体" w:eastAsia="宋体" w:cs="宋体"/>
          <w:bCs/>
          <w:kern w:val="0"/>
          <w:sz w:val="21"/>
          <w:szCs w:val="21"/>
          <w:highlight w:val="none"/>
          <w:lang w:val="en-US" w:eastAsia="zh-CN"/>
        </w:rPr>
        <w:t>（一）</w:t>
      </w:r>
      <w:r>
        <w:rPr>
          <w:rFonts w:hint="eastAsia" w:ascii="宋体" w:hAnsi="宋体" w:eastAsia="宋体" w:cs="宋体"/>
          <w:bCs/>
          <w:kern w:val="0"/>
          <w:sz w:val="21"/>
          <w:szCs w:val="21"/>
          <w:highlight w:val="none"/>
          <w:lang w:val="en-US" w:eastAsia="zh-CN"/>
        </w:rPr>
        <w:t>月日均资金</w:t>
      </w:r>
      <w:r>
        <w:rPr>
          <w:rFonts w:hint="eastAsia" w:ascii="宋体" w:hAnsi="宋体" w:eastAsia="宋体" w:cs="宋体"/>
          <w:bCs/>
          <w:kern w:val="0"/>
          <w:sz w:val="21"/>
          <w:szCs w:val="21"/>
          <w:highlight w:val="none"/>
          <w:lang w:val="en-US" w:eastAsia="zh-CN"/>
        </w:rPr>
        <w:t>：指贵单位在农业银行的资金余额的月日均值。</w:t>
      </w:r>
    </w:p>
    <w:p>
      <w:pPr>
        <w:keepNext w:val="0"/>
        <w:keepLines w:val="0"/>
        <w:pageBreakBefore w:val="0"/>
        <w:numPr>
          <w:ilvl w:val="0"/>
          <w:numId w:val="0"/>
        </w:numPr>
        <w:kinsoku/>
        <w:wordWrap/>
        <w:overflowPunct/>
        <w:topLinePunct w:val="0"/>
        <w:autoSpaceDE/>
        <w:autoSpaceDN/>
        <w:bidi w:val="0"/>
        <w:adjustRightInd/>
        <w:spacing w:line="360" w:lineRule="auto"/>
        <w:ind w:firstLine="420" w:firstLineChars="200"/>
        <w:textAlignment w:val="auto"/>
        <w:rPr>
          <w:rFonts w:hint="eastAsia" w:ascii="宋体" w:hAnsi="宋体" w:eastAsia="宋体" w:cs="宋体"/>
          <w:bCs/>
          <w:kern w:val="0"/>
          <w:sz w:val="21"/>
          <w:szCs w:val="21"/>
          <w:highlight w:val="none"/>
          <w:lang w:val="en-US" w:eastAsia="zh-CN"/>
        </w:rPr>
      </w:pPr>
      <w:r>
        <w:rPr>
          <w:rFonts w:hint="eastAsia" w:ascii="宋体" w:hAnsi="宋体" w:eastAsia="宋体" w:cs="宋体"/>
          <w:bCs/>
          <w:kern w:val="0"/>
          <w:sz w:val="21"/>
          <w:szCs w:val="21"/>
          <w:highlight w:val="none"/>
          <w:lang w:val="en-US" w:eastAsia="zh-CN"/>
        </w:rPr>
        <w:t>（</w:t>
      </w:r>
      <w:r>
        <w:rPr>
          <w:rFonts w:hint="eastAsia" w:ascii="宋体" w:hAnsi="宋体" w:eastAsia="宋体" w:cs="宋体"/>
          <w:bCs/>
          <w:kern w:val="0"/>
          <w:sz w:val="21"/>
          <w:szCs w:val="21"/>
          <w:highlight w:val="none"/>
          <w:lang w:val="en-US" w:eastAsia="zh-CN"/>
        </w:rPr>
        <w:t>二</w:t>
      </w:r>
      <w:r>
        <w:rPr>
          <w:rFonts w:hint="eastAsia" w:ascii="宋体" w:hAnsi="宋体" w:eastAsia="宋体" w:cs="宋体"/>
          <w:bCs/>
          <w:kern w:val="0"/>
          <w:sz w:val="21"/>
          <w:szCs w:val="21"/>
          <w:highlight w:val="none"/>
          <w:lang w:val="en-US" w:eastAsia="zh-CN"/>
        </w:rPr>
        <w:t>）</w:t>
      </w:r>
      <w:r>
        <w:rPr>
          <w:rFonts w:hint="eastAsia" w:ascii="宋体" w:hAnsi="宋体" w:eastAsia="宋体" w:cs="宋体"/>
          <w:bCs/>
          <w:kern w:val="0"/>
          <w:sz w:val="21"/>
          <w:szCs w:val="21"/>
          <w:highlight w:val="none"/>
          <w:lang w:val="en-US" w:eastAsia="zh-CN"/>
        </w:rPr>
        <w:t>手续费优惠活动：指农业银</w:t>
      </w:r>
      <w:r>
        <w:rPr>
          <w:rFonts w:hint="eastAsia" w:ascii="宋体" w:hAnsi="宋体" w:eastAsia="宋体" w:cs="宋体"/>
          <w:bCs w:val="0"/>
          <w:kern w:val="2"/>
          <w:sz w:val="21"/>
          <w:szCs w:val="21"/>
          <w:highlight w:val="none"/>
          <w:lang w:val="en-US" w:eastAsia="zh-CN"/>
        </w:rPr>
        <w:t>行按照《</w:t>
      </w:r>
      <w:r>
        <w:rPr>
          <w:rFonts w:hint="eastAsia" w:ascii="宋体" w:hAnsi="宋体" w:eastAsia="宋体" w:cs="宋体"/>
          <w:sz w:val="21"/>
          <w:szCs w:val="21"/>
          <w:highlight w:val="none"/>
        </w:rPr>
        <w:t>中国农业银行</w:t>
      </w:r>
      <w:r>
        <w:rPr>
          <w:rFonts w:hint="eastAsia" w:ascii="宋体" w:hAnsi="宋体" w:eastAsia="宋体" w:cs="宋体"/>
          <w:sz w:val="21"/>
          <w:szCs w:val="21"/>
          <w:highlight w:val="none"/>
          <w:lang w:eastAsia="zh-CN"/>
        </w:rPr>
        <w:t>聚合收款码</w:t>
      </w:r>
      <w:r>
        <w:rPr>
          <w:rFonts w:hint="eastAsia" w:ascii="宋体" w:hAnsi="宋体" w:eastAsia="宋体" w:cs="宋体"/>
          <w:sz w:val="21"/>
          <w:szCs w:val="21"/>
          <w:highlight w:val="none"/>
          <w:lang w:val="en-US" w:eastAsia="zh-CN"/>
        </w:rPr>
        <w:t>手续费</w:t>
      </w:r>
      <w:r>
        <w:rPr>
          <w:rFonts w:hint="eastAsia" w:ascii="宋体" w:hAnsi="宋体" w:eastAsia="宋体" w:cs="宋体"/>
          <w:sz w:val="21"/>
          <w:szCs w:val="21"/>
          <w:highlight w:val="none"/>
          <w:lang w:eastAsia="zh-CN"/>
        </w:rPr>
        <w:t>优惠活动告知书</w:t>
      </w:r>
      <w:r>
        <w:rPr>
          <w:rFonts w:hint="eastAsia" w:ascii="宋体" w:hAnsi="宋体" w:eastAsia="宋体" w:cs="宋体"/>
          <w:bCs w:val="0"/>
          <w:kern w:val="2"/>
          <w:sz w:val="21"/>
          <w:szCs w:val="21"/>
          <w:highlight w:val="none"/>
          <w:lang w:val="en-US" w:eastAsia="zh-CN"/>
        </w:rPr>
        <w:t>》向商户提供的聚合收款码手续</w:t>
      </w:r>
      <w:r>
        <w:rPr>
          <w:rFonts w:hint="eastAsia" w:ascii="宋体" w:hAnsi="宋体" w:eastAsia="宋体" w:cs="宋体"/>
          <w:bCs/>
          <w:kern w:val="0"/>
          <w:sz w:val="21"/>
          <w:szCs w:val="21"/>
          <w:highlight w:val="none"/>
          <w:lang w:val="en-US" w:eastAsia="zh-CN"/>
        </w:rPr>
        <w:t>费优惠活动。已参与农业银行聚合码手续费优惠活动的商户，可通过“农行商户服务”公众号“我的店铺”查看所享优惠活动的有效期、具体优惠收款额度。</w:t>
      </w:r>
    </w:p>
    <w:p>
      <w:pPr>
        <w:keepNext w:val="0"/>
        <w:keepLines w:val="0"/>
        <w:pageBreakBefore w:val="0"/>
        <w:numPr>
          <w:ilvl w:val="0"/>
          <w:numId w:val="0"/>
        </w:numPr>
        <w:kinsoku/>
        <w:wordWrap/>
        <w:overflowPunct/>
        <w:topLinePunct w:val="0"/>
        <w:autoSpaceDE/>
        <w:autoSpaceDN/>
        <w:bidi w:val="0"/>
        <w:adjustRightInd/>
        <w:spacing w:line="360" w:lineRule="auto"/>
        <w:ind w:firstLine="420" w:firstLineChars="200"/>
        <w:textAlignment w:val="auto"/>
        <w:rPr>
          <w:rFonts w:hint="eastAsia" w:ascii="宋体" w:hAnsi="宋体" w:eastAsia="宋体" w:cs="宋体"/>
          <w:b w:val="0"/>
          <w:bCs w:val="0"/>
          <w:kern w:val="0"/>
          <w:sz w:val="21"/>
          <w:szCs w:val="21"/>
          <w:highlight w:val="none"/>
          <w:lang w:val="en-US" w:eastAsia="zh-CN"/>
        </w:rPr>
      </w:pPr>
      <w:r>
        <w:rPr>
          <w:rFonts w:hint="eastAsia" w:ascii="宋体" w:hAnsi="宋体" w:eastAsia="宋体" w:cs="宋体"/>
          <w:bCs/>
          <w:kern w:val="0"/>
          <w:sz w:val="21"/>
          <w:szCs w:val="21"/>
          <w:highlight w:val="none"/>
          <w:lang w:val="en-US" w:eastAsia="zh-CN"/>
        </w:rPr>
        <w:t>（三）“</w:t>
      </w:r>
      <w:r>
        <w:rPr>
          <w:rFonts w:hint="eastAsia" w:ascii="宋体" w:hAnsi="宋体" w:eastAsia="宋体" w:cs="宋体"/>
          <w:b w:val="0"/>
          <w:bCs w:val="0"/>
          <w:kern w:val="0"/>
          <w:sz w:val="21"/>
          <w:szCs w:val="21"/>
          <w:highlight w:val="none"/>
          <w:lang w:val="en-US" w:eastAsia="zh-CN"/>
        </w:rPr>
        <w:t>惠存会省2.0”活动：针对</w:t>
      </w:r>
      <w:r>
        <w:rPr>
          <w:rFonts w:hint="eastAsia" w:ascii="宋体" w:hAnsi="宋体" w:eastAsia="宋体" w:cs="宋体"/>
          <w:kern w:val="0"/>
          <w:szCs w:val="21"/>
          <w:highlight w:val="none"/>
          <w:lang w:val="en-US" w:eastAsia="zh-CN"/>
        </w:rPr>
        <w:t>使用农业银行商户收款服务，且</w:t>
      </w:r>
      <w:r>
        <w:rPr>
          <w:rFonts w:hint="eastAsia" w:ascii="宋体" w:hAnsi="宋体" w:eastAsia="宋体" w:cs="宋体"/>
          <w:kern w:val="0"/>
          <w:szCs w:val="21"/>
          <w:highlight w:val="none"/>
        </w:rPr>
        <w:t>按</w:t>
      </w:r>
      <w:r>
        <w:rPr>
          <w:rFonts w:hint="eastAsia" w:ascii="宋体" w:hAnsi="宋体" w:eastAsia="宋体" w:cs="宋体"/>
          <w:kern w:val="0"/>
          <w:szCs w:val="21"/>
          <w:highlight w:val="none"/>
          <w:lang w:eastAsia="zh-CN"/>
        </w:rPr>
        <w:t>双方签订的</w:t>
      </w:r>
      <w:r>
        <w:rPr>
          <w:rFonts w:hint="eastAsia" w:ascii="宋体" w:hAnsi="宋体" w:eastAsia="宋体" w:cs="宋体"/>
          <w:kern w:val="0"/>
          <w:szCs w:val="21"/>
          <w:highlight w:val="none"/>
        </w:rPr>
        <w:t>商户合作协议或静态聚合码业务服务协议约定</w:t>
      </w:r>
      <w:r>
        <w:rPr>
          <w:rFonts w:hint="eastAsia" w:ascii="宋体" w:hAnsi="宋体" w:eastAsia="宋体" w:cs="宋体"/>
          <w:kern w:val="0"/>
          <w:szCs w:val="21"/>
          <w:highlight w:val="none"/>
          <w:lang w:eastAsia="zh-CN"/>
        </w:rPr>
        <w:t>的手续费标准</w:t>
      </w:r>
      <w:r>
        <w:rPr>
          <w:rFonts w:hint="eastAsia" w:ascii="宋体" w:hAnsi="宋体" w:eastAsia="宋体" w:cs="宋体"/>
          <w:kern w:val="0"/>
          <w:szCs w:val="21"/>
          <w:highlight w:val="none"/>
        </w:rPr>
        <w:t>向农业银行缴付手续费</w:t>
      </w:r>
      <w:r>
        <w:rPr>
          <w:rFonts w:hint="eastAsia" w:ascii="宋体" w:hAnsi="宋体" w:eastAsia="宋体" w:cs="宋体"/>
          <w:kern w:val="0"/>
          <w:szCs w:val="21"/>
          <w:highlight w:val="none"/>
          <w:lang w:eastAsia="zh-CN"/>
        </w:rPr>
        <w:t>的商户，农业银行每月可向</w:t>
      </w:r>
      <w:r>
        <w:rPr>
          <w:rFonts w:hint="eastAsia" w:ascii="宋体" w:hAnsi="宋体" w:eastAsia="宋体" w:cs="宋体"/>
          <w:kern w:val="0"/>
          <w:szCs w:val="21"/>
          <w:highlight w:val="none"/>
          <w:lang w:val="en-US" w:eastAsia="zh-CN"/>
        </w:rPr>
        <w:t>商户提供一定额度的收款手续费优惠。活动期间，在商户每月可享的优惠收款额度</w:t>
      </w:r>
      <w:r>
        <w:rPr>
          <w:rFonts w:hint="eastAsia" w:ascii="宋体" w:hAnsi="宋体" w:eastAsia="宋体" w:cs="宋体"/>
          <w:b w:val="0"/>
          <w:bCs w:val="0"/>
          <w:kern w:val="0"/>
          <w:sz w:val="21"/>
          <w:szCs w:val="21"/>
          <w:highlight w:val="none"/>
          <w:lang w:val="en-US" w:eastAsia="zh-CN"/>
        </w:rPr>
        <w:t>内，农业银行将减免该部分优惠额度对应的手续费。商户收款超过享有的</w:t>
      </w:r>
      <w:r>
        <w:rPr>
          <w:rFonts w:hint="eastAsia" w:ascii="宋体" w:hAnsi="宋体" w:eastAsia="宋体" w:cs="宋体"/>
          <w:kern w:val="0"/>
          <w:szCs w:val="21"/>
          <w:highlight w:val="none"/>
          <w:lang w:val="en-US" w:eastAsia="zh-CN"/>
        </w:rPr>
        <w:t>优惠收款额度</w:t>
      </w:r>
      <w:r>
        <w:rPr>
          <w:rFonts w:hint="eastAsia" w:ascii="宋体" w:hAnsi="宋体" w:eastAsia="宋体" w:cs="宋体"/>
          <w:b w:val="0"/>
          <w:bCs w:val="0"/>
          <w:kern w:val="0"/>
          <w:sz w:val="21"/>
          <w:szCs w:val="21"/>
          <w:highlight w:val="none"/>
          <w:lang w:val="en-US" w:eastAsia="zh-CN"/>
        </w:rPr>
        <w:t>后，</w:t>
      </w:r>
      <w:r>
        <w:rPr>
          <w:rFonts w:hint="eastAsia" w:ascii="宋体" w:hAnsi="宋体" w:eastAsia="宋体" w:cs="宋体"/>
          <w:kern w:val="0"/>
          <w:szCs w:val="21"/>
          <w:highlight w:val="none"/>
        </w:rPr>
        <w:t>农业银行按照</w:t>
      </w:r>
      <w:r>
        <w:rPr>
          <w:rFonts w:hint="eastAsia" w:ascii="宋体" w:hAnsi="宋体" w:eastAsia="宋体" w:cs="宋体"/>
          <w:kern w:val="0"/>
          <w:szCs w:val="21"/>
          <w:highlight w:val="none"/>
          <w:lang w:eastAsia="zh-CN"/>
        </w:rPr>
        <w:t>双方</w:t>
      </w:r>
      <w:r>
        <w:rPr>
          <w:rFonts w:hint="eastAsia" w:ascii="宋体" w:hAnsi="宋体" w:eastAsia="宋体" w:cs="宋体"/>
          <w:kern w:val="0"/>
          <w:szCs w:val="21"/>
          <w:highlight w:val="none"/>
        </w:rPr>
        <w:t>协议约定</w:t>
      </w:r>
      <w:r>
        <w:rPr>
          <w:rFonts w:hint="eastAsia" w:ascii="宋体" w:hAnsi="宋体" w:eastAsia="宋体" w:cs="宋体"/>
          <w:kern w:val="0"/>
          <w:szCs w:val="21"/>
          <w:highlight w:val="none"/>
          <w:lang w:eastAsia="zh-CN"/>
        </w:rPr>
        <w:t>的手续费标准收取</w:t>
      </w:r>
      <w:r>
        <w:rPr>
          <w:rFonts w:hint="eastAsia" w:ascii="宋体" w:hAnsi="宋体" w:eastAsia="宋体" w:cs="宋体"/>
          <w:kern w:val="0"/>
          <w:szCs w:val="21"/>
          <w:highlight w:val="none"/>
        </w:rPr>
        <w:t>手续费</w:t>
      </w:r>
      <w:r>
        <w:rPr>
          <w:rFonts w:hint="eastAsia" w:ascii="宋体" w:hAnsi="宋体" w:eastAsia="宋体" w:cs="宋体"/>
          <w:kern w:val="0"/>
          <w:szCs w:val="21"/>
          <w:highlight w:val="none"/>
          <w:lang w:eastAsia="zh-CN"/>
        </w:rPr>
        <w:t>，</w:t>
      </w:r>
      <w:r>
        <w:rPr>
          <w:rFonts w:hint="eastAsia" w:ascii="宋体" w:hAnsi="宋体" w:eastAsia="宋体" w:cs="宋体"/>
          <w:kern w:val="0"/>
          <w:szCs w:val="21"/>
          <w:highlight w:val="none"/>
        </w:rPr>
        <w:t>不再进行</w:t>
      </w:r>
      <w:r>
        <w:rPr>
          <w:rFonts w:hint="eastAsia" w:ascii="宋体" w:hAnsi="宋体" w:eastAsia="宋体" w:cs="宋体"/>
          <w:kern w:val="0"/>
          <w:szCs w:val="21"/>
          <w:highlight w:val="none"/>
          <w:lang w:val="en-US" w:eastAsia="zh-CN"/>
        </w:rPr>
        <w:t>减免</w:t>
      </w:r>
      <w:r>
        <w:rPr>
          <w:rFonts w:hint="eastAsia" w:ascii="宋体" w:hAnsi="宋体" w:eastAsia="宋体" w:cs="宋体"/>
          <w:b w:val="0"/>
          <w:bCs w:val="0"/>
          <w:kern w:val="0"/>
          <w:sz w:val="21"/>
          <w:szCs w:val="21"/>
          <w:highlight w:val="none"/>
          <w:lang w:val="en-US" w:eastAsia="zh-CN"/>
        </w:rPr>
        <w:t>。</w:t>
      </w:r>
    </w:p>
    <w:p>
      <w:pPr>
        <w:keepNext w:val="0"/>
        <w:keepLines w:val="0"/>
        <w:pageBreakBefore w:val="0"/>
        <w:numPr>
          <w:ilvl w:val="0"/>
          <w:numId w:val="0"/>
        </w:numPr>
        <w:kinsoku/>
        <w:wordWrap/>
        <w:overflowPunct/>
        <w:topLinePunct w:val="0"/>
        <w:autoSpaceDE/>
        <w:autoSpaceDN/>
        <w:bidi w:val="0"/>
        <w:adjustRightInd/>
        <w:spacing w:line="360" w:lineRule="auto"/>
        <w:ind w:firstLine="420" w:firstLineChars="200"/>
        <w:textAlignment w:val="auto"/>
        <w:rPr>
          <w:rFonts w:hint="eastAsia" w:ascii="宋体" w:hAnsi="宋体" w:eastAsia="宋体" w:cs="宋体"/>
          <w:b w:val="0"/>
          <w:bCs w:val="0"/>
          <w:kern w:val="0"/>
          <w:sz w:val="21"/>
          <w:szCs w:val="21"/>
          <w:highlight w:val="none"/>
          <w:lang w:val="en-US" w:eastAsia="zh-CN"/>
        </w:rPr>
      </w:pPr>
      <w:r>
        <w:rPr>
          <w:rFonts w:hint="eastAsia" w:ascii="宋体" w:hAnsi="宋体" w:eastAsia="宋体" w:cs="宋体"/>
          <w:b w:val="0"/>
          <w:bCs w:val="0"/>
          <w:kern w:val="0"/>
          <w:sz w:val="21"/>
          <w:szCs w:val="21"/>
          <w:highlight w:val="none"/>
          <w:lang w:val="en-US" w:eastAsia="zh-CN"/>
        </w:rPr>
        <w:t>商户参与本活动享有的</w:t>
      </w:r>
      <w:r>
        <w:rPr>
          <w:rFonts w:hint="eastAsia" w:ascii="宋体" w:hAnsi="宋体" w:eastAsia="宋体" w:cs="宋体"/>
          <w:kern w:val="0"/>
          <w:szCs w:val="21"/>
          <w:highlight w:val="none"/>
          <w:lang w:val="en-US" w:eastAsia="zh-CN"/>
        </w:rPr>
        <w:t>优惠收款额度，由农业银行按照商户在农业银行的</w:t>
      </w:r>
      <w:r>
        <w:rPr>
          <w:rFonts w:hint="eastAsia" w:ascii="宋体" w:hAnsi="宋体" w:eastAsia="宋体" w:cs="宋体"/>
          <w:bCs/>
          <w:kern w:val="0"/>
          <w:sz w:val="21"/>
          <w:szCs w:val="21"/>
          <w:highlight w:val="none"/>
          <w:lang w:val="en-US" w:eastAsia="zh-CN"/>
        </w:rPr>
        <w:t>月日均资金</w:t>
      </w:r>
      <w:r>
        <w:rPr>
          <w:rFonts w:hint="eastAsia" w:ascii="宋体" w:hAnsi="宋体" w:eastAsia="宋体" w:cs="宋体"/>
          <w:kern w:val="0"/>
          <w:szCs w:val="21"/>
          <w:highlight w:val="none"/>
          <w:lang w:val="en-US" w:eastAsia="zh-CN"/>
        </w:rPr>
        <w:t>综合评估计算得出。</w:t>
      </w:r>
    </w:p>
    <w:p>
      <w:pPr>
        <w:keepNext w:val="0"/>
        <w:keepLines w:val="0"/>
        <w:pageBreakBefore w:val="0"/>
        <w:numPr>
          <w:ilvl w:val="0"/>
          <w:numId w:val="0"/>
        </w:numPr>
        <w:kinsoku/>
        <w:wordWrap/>
        <w:overflowPunct/>
        <w:topLinePunct w:val="0"/>
        <w:autoSpaceDE/>
        <w:autoSpaceDN/>
        <w:bidi w:val="0"/>
        <w:adjustRightInd/>
        <w:spacing w:line="360" w:lineRule="auto"/>
        <w:ind w:firstLine="420" w:firstLineChars="200"/>
        <w:textAlignment w:val="auto"/>
        <w:rPr>
          <w:rFonts w:hint="eastAsia" w:ascii="宋体" w:hAnsi="宋体" w:eastAsia="宋体" w:cs="宋体"/>
          <w:b w:val="0"/>
          <w:bCs/>
          <w:kern w:val="0"/>
          <w:sz w:val="21"/>
          <w:szCs w:val="21"/>
          <w:highlight w:val="none"/>
          <w:lang w:val="en-US" w:eastAsia="zh-CN"/>
        </w:rPr>
      </w:pPr>
      <w:r>
        <w:rPr>
          <w:rFonts w:hint="eastAsia" w:ascii="宋体" w:hAnsi="宋体" w:eastAsia="宋体" w:cs="宋体"/>
          <w:b w:val="0"/>
          <w:bCs/>
          <w:kern w:val="0"/>
          <w:sz w:val="21"/>
          <w:szCs w:val="21"/>
          <w:highlight w:val="none"/>
          <w:lang w:val="en-US" w:eastAsia="zh-CN"/>
        </w:rPr>
        <w:t>（四）</w:t>
      </w:r>
      <w:r>
        <w:rPr>
          <w:rFonts w:hint="eastAsia" w:ascii="宋体" w:hAnsi="宋体" w:eastAsia="宋体" w:cs="宋体"/>
          <w:bCs/>
          <w:kern w:val="0"/>
          <w:sz w:val="21"/>
          <w:szCs w:val="21"/>
          <w:highlight w:val="none"/>
          <w:lang w:val="en-US" w:eastAsia="zh-CN"/>
        </w:rPr>
        <w:t>手续费</w:t>
      </w:r>
      <w:r>
        <w:rPr>
          <w:rFonts w:hint="eastAsia" w:ascii="宋体" w:hAnsi="宋体" w:eastAsia="宋体" w:cs="宋体"/>
          <w:b w:val="0"/>
          <w:bCs/>
          <w:kern w:val="0"/>
          <w:sz w:val="21"/>
          <w:szCs w:val="21"/>
          <w:highlight w:val="none"/>
          <w:lang w:val="en-US" w:eastAsia="zh-CN"/>
        </w:rPr>
        <w:t>优惠活动优先原则。若商户同时申请参加农业银行“手续费优惠活动”和“</w:t>
      </w:r>
      <w:r>
        <w:rPr>
          <w:rFonts w:hint="eastAsia" w:ascii="宋体" w:hAnsi="宋体" w:eastAsia="宋体" w:cs="宋体"/>
          <w:b w:val="0"/>
          <w:bCs w:val="0"/>
          <w:kern w:val="0"/>
          <w:sz w:val="21"/>
          <w:szCs w:val="21"/>
          <w:highlight w:val="none"/>
          <w:lang w:val="en-US" w:eastAsia="zh-CN"/>
        </w:rPr>
        <w:t>惠存会省2.0”活动，</w:t>
      </w:r>
      <w:r>
        <w:rPr>
          <w:rFonts w:hint="eastAsia" w:ascii="宋体" w:hAnsi="宋体" w:eastAsia="宋体" w:cs="宋体"/>
          <w:b w:val="0"/>
          <w:bCs/>
          <w:kern w:val="0"/>
          <w:sz w:val="21"/>
          <w:szCs w:val="21"/>
          <w:highlight w:val="none"/>
          <w:lang w:val="en-US" w:eastAsia="zh-CN"/>
        </w:rPr>
        <w:t>“手续费优惠活动”先于“惠存会省2.0”活动执行。“手续费优惠活动”期内，贵单位可优先享有农业银行商户聚合码手续费优惠活动相关权益（详见《</w:t>
      </w:r>
      <w:r>
        <w:rPr>
          <w:rFonts w:hint="eastAsia" w:ascii="宋体" w:hAnsi="宋体" w:eastAsia="宋体" w:cs="宋体"/>
          <w:bCs/>
          <w:kern w:val="0"/>
          <w:szCs w:val="21"/>
          <w:highlight w:val="none"/>
        </w:rPr>
        <w:t>中国农业银行聚合收款码手续费优惠活动告知书</w:t>
      </w:r>
      <w:r>
        <w:rPr>
          <w:rFonts w:hint="eastAsia" w:ascii="宋体" w:hAnsi="宋体" w:eastAsia="宋体" w:cs="宋体"/>
          <w:bCs/>
          <w:kern w:val="0"/>
          <w:szCs w:val="21"/>
          <w:highlight w:val="none"/>
          <w:lang w:eastAsia="zh-CN"/>
        </w:rPr>
        <w:t>》</w:t>
      </w:r>
      <w:r>
        <w:rPr>
          <w:rFonts w:hint="eastAsia" w:ascii="宋体" w:hAnsi="宋体" w:eastAsia="宋体" w:cs="宋体"/>
          <w:b w:val="0"/>
          <w:bCs/>
          <w:kern w:val="0"/>
          <w:sz w:val="21"/>
          <w:szCs w:val="21"/>
          <w:highlight w:val="none"/>
          <w:lang w:val="en-US" w:eastAsia="zh-CN"/>
        </w:rPr>
        <w:t>），“手续费优惠活动”结束后，贵单位可按照本告知书继续享有商户“惠存会省2.0”活动权益。</w:t>
      </w:r>
    </w:p>
    <w:p>
      <w:pPr>
        <w:keepNext w:val="0"/>
        <w:keepLines w:val="0"/>
        <w:pageBreakBefore w:val="0"/>
        <w:numPr>
          <w:ilvl w:val="0"/>
          <w:numId w:val="0"/>
        </w:numPr>
        <w:kinsoku/>
        <w:wordWrap/>
        <w:overflowPunct/>
        <w:topLinePunct w:val="0"/>
        <w:autoSpaceDE/>
        <w:autoSpaceDN/>
        <w:bidi w:val="0"/>
        <w:adjustRightInd/>
        <w:spacing w:line="360" w:lineRule="auto"/>
        <w:ind w:firstLine="422" w:firstLineChars="200"/>
        <w:textAlignment w:val="auto"/>
        <w:rPr>
          <w:rFonts w:hint="default" w:ascii="宋体" w:hAnsi="宋体" w:eastAsia="宋体" w:cs="宋体"/>
          <w:b/>
          <w:bCs/>
          <w:kern w:val="0"/>
          <w:sz w:val="21"/>
          <w:szCs w:val="21"/>
          <w:highlight w:val="none"/>
          <w:lang w:val="en-US" w:eastAsia="zh-CN"/>
        </w:rPr>
      </w:pPr>
      <w:r>
        <w:rPr>
          <w:rFonts w:hint="eastAsia" w:ascii="宋体" w:hAnsi="宋体" w:eastAsia="宋体" w:cs="宋体"/>
          <w:b/>
          <w:bCs/>
          <w:kern w:val="0"/>
          <w:sz w:val="21"/>
          <w:szCs w:val="21"/>
          <w:highlight w:val="none"/>
          <w:lang w:val="en-US" w:eastAsia="zh-CN"/>
        </w:rPr>
        <w:t>二、活动时间</w:t>
      </w:r>
    </w:p>
    <w:p>
      <w:pPr>
        <w:keepNext w:val="0"/>
        <w:keepLines w:val="0"/>
        <w:pageBreakBefore w:val="0"/>
        <w:numPr>
          <w:ilvl w:val="0"/>
          <w:numId w:val="0"/>
        </w:numPr>
        <w:kinsoku/>
        <w:wordWrap/>
        <w:overflowPunct/>
        <w:topLinePunct w:val="0"/>
        <w:autoSpaceDE/>
        <w:autoSpaceDN/>
        <w:bidi w:val="0"/>
        <w:adjustRightInd/>
        <w:spacing w:line="360" w:lineRule="auto"/>
        <w:ind w:firstLine="422" w:firstLineChars="200"/>
        <w:textAlignment w:val="auto"/>
        <w:rPr>
          <w:rFonts w:hint="eastAsia" w:ascii="黑体" w:hAnsi="黑体" w:eastAsia="黑体" w:cs="黑体"/>
          <w:b/>
          <w:bCs/>
          <w:kern w:val="2"/>
          <w:sz w:val="21"/>
          <w:szCs w:val="21"/>
          <w:highlight w:val="none"/>
          <w:lang w:val="en-US" w:eastAsia="zh-CN"/>
        </w:rPr>
      </w:pPr>
      <w:r>
        <w:rPr>
          <w:rFonts w:hint="eastAsia" w:ascii="黑体" w:hAnsi="黑体" w:eastAsia="黑体" w:cs="黑体"/>
          <w:b/>
          <w:bCs/>
          <w:kern w:val="2"/>
          <w:sz w:val="21"/>
          <w:szCs w:val="21"/>
          <w:highlight w:val="none"/>
          <w:lang w:val="en-US" w:eastAsia="zh-CN"/>
        </w:rPr>
        <w:t>“惠存会省2.0”活动期限为即日起至</w:t>
      </w:r>
      <w:r>
        <w:rPr>
          <w:rFonts w:hint="eastAsia" w:ascii="黑体" w:hAnsi="黑体" w:eastAsia="黑体" w:cs="黑体"/>
          <w:b/>
          <w:bCs/>
          <w:color w:val="auto"/>
          <w:sz w:val="21"/>
          <w:szCs w:val="21"/>
          <w:highlight w:val="none"/>
          <w:u w:val="single"/>
          <w:lang w:val="en-US" w:eastAsia="zh-CN"/>
        </w:rPr>
        <w:t>2026年5月4日</w:t>
      </w:r>
      <w:r>
        <w:rPr>
          <w:rFonts w:hint="eastAsia" w:ascii="黑体" w:hAnsi="黑体" w:eastAsia="黑体" w:cs="黑体"/>
          <w:b/>
          <w:bCs/>
          <w:kern w:val="2"/>
          <w:sz w:val="21"/>
          <w:szCs w:val="21"/>
          <w:highlight w:val="none"/>
          <w:u w:val="none"/>
          <w:lang w:val="en-US" w:eastAsia="zh-CN"/>
        </w:rPr>
        <w:t>。</w:t>
      </w:r>
      <w:r>
        <w:rPr>
          <w:rFonts w:hint="eastAsia" w:ascii="黑体" w:hAnsi="黑体" w:eastAsia="黑体" w:cs="黑体"/>
          <w:b/>
          <w:bCs/>
          <w:kern w:val="2"/>
          <w:sz w:val="21"/>
          <w:szCs w:val="21"/>
          <w:highlight w:val="none"/>
          <w:lang w:val="en-US" w:eastAsia="zh-CN"/>
        </w:rPr>
        <w:t>活动到期后，</w:t>
      </w:r>
      <w:r>
        <w:rPr>
          <w:rFonts w:hint="eastAsia" w:ascii="黑体" w:hAnsi="黑体" w:eastAsia="黑体" w:cs="黑体"/>
          <w:b/>
          <w:bCs/>
          <w:sz w:val="21"/>
          <w:szCs w:val="21"/>
          <w:highlight w:val="none"/>
          <w:lang w:val="en-US" w:eastAsia="zh-CN"/>
        </w:rPr>
        <w:t>农业银行</w:t>
      </w:r>
      <w:r>
        <w:rPr>
          <w:rFonts w:hint="eastAsia" w:ascii="黑体" w:hAnsi="黑体" w:eastAsia="黑体" w:cs="黑体"/>
          <w:b/>
          <w:bCs/>
          <w:sz w:val="21"/>
          <w:szCs w:val="21"/>
          <w:highlight w:val="none"/>
          <w:lang w:eastAsia="zh-CN"/>
        </w:rPr>
        <w:t>将</w:t>
      </w:r>
      <w:r>
        <w:rPr>
          <w:rFonts w:hint="eastAsia" w:ascii="黑体" w:hAnsi="黑体" w:eastAsia="黑体" w:cs="黑体"/>
          <w:b/>
          <w:bCs/>
          <w:sz w:val="21"/>
          <w:szCs w:val="21"/>
          <w:highlight w:val="none"/>
          <w:lang w:val="en-US" w:eastAsia="zh-CN"/>
        </w:rPr>
        <w:t>按照双方签订的</w:t>
      </w:r>
      <w:r>
        <w:rPr>
          <w:rFonts w:hint="eastAsia" w:ascii="黑体" w:hAnsi="黑体" w:eastAsia="黑体" w:cs="黑体"/>
          <w:b/>
          <w:bCs/>
          <w:sz w:val="21"/>
          <w:szCs w:val="21"/>
          <w:highlight w:val="none"/>
          <w:lang w:eastAsia="zh-CN"/>
        </w:rPr>
        <w:t>商户合作协议</w:t>
      </w:r>
      <w:r>
        <w:rPr>
          <w:rFonts w:hint="eastAsia" w:ascii="黑体" w:hAnsi="黑体" w:eastAsia="黑体" w:cs="黑体"/>
          <w:b/>
          <w:bCs/>
          <w:sz w:val="21"/>
          <w:szCs w:val="21"/>
          <w:highlight w:val="none"/>
          <w:lang w:val="en-US" w:eastAsia="zh-CN"/>
        </w:rPr>
        <w:t>或静态聚合码业务服务协议</w:t>
      </w:r>
      <w:r>
        <w:rPr>
          <w:rFonts w:hint="eastAsia" w:ascii="黑体" w:hAnsi="黑体" w:eastAsia="黑体" w:cs="黑体"/>
          <w:b/>
          <w:bCs/>
          <w:sz w:val="21"/>
          <w:szCs w:val="21"/>
          <w:highlight w:val="none"/>
          <w:lang w:eastAsia="zh-CN"/>
        </w:rPr>
        <w:t>中约定的标准费率收取</w:t>
      </w:r>
      <w:r>
        <w:rPr>
          <w:rFonts w:hint="eastAsia" w:ascii="黑体" w:hAnsi="黑体" w:eastAsia="黑体" w:cs="黑体"/>
          <w:b/>
          <w:bCs/>
          <w:sz w:val="21"/>
          <w:szCs w:val="21"/>
          <w:highlight w:val="none"/>
          <w:lang w:val="en-US" w:eastAsia="zh-CN"/>
        </w:rPr>
        <w:t>手续费</w:t>
      </w:r>
      <w:r>
        <w:rPr>
          <w:rFonts w:hint="eastAsia" w:ascii="黑体" w:hAnsi="黑体" w:eastAsia="黑体" w:cs="黑体"/>
          <w:b/>
          <w:bCs/>
          <w:sz w:val="21"/>
          <w:szCs w:val="21"/>
          <w:highlight w:val="none"/>
          <w:lang w:eastAsia="zh-CN"/>
        </w:rPr>
        <w:t>，</w:t>
      </w:r>
      <w:r>
        <w:rPr>
          <w:rFonts w:hint="eastAsia" w:ascii="黑体" w:hAnsi="黑体" w:eastAsia="黑体" w:cs="黑体"/>
          <w:b/>
          <w:bCs/>
          <w:sz w:val="21"/>
          <w:szCs w:val="21"/>
          <w:highlight w:val="none"/>
          <w:lang w:val="en-US" w:eastAsia="zh-CN"/>
        </w:rPr>
        <w:t>不再进行减免</w:t>
      </w:r>
      <w:r>
        <w:rPr>
          <w:rFonts w:hint="eastAsia" w:ascii="黑体" w:hAnsi="黑体" w:eastAsia="黑体" w:cs="黑体"/>
          <w:b/>
          <w:bCs/>
          <w:sz w:val="21"/>
          <w:szCs w:val="21"/>
          <w:highlight w:val="none"/>
          <w:lang w:eastAsia="zh-CN"/>
        </w:rPr>
        <w:t>。</w:t>
      </w:r>
    </w:p>
    <w:p>
      <w:pPr>
        <w:keepNext w:val="0"/>
        <w:keepLines w:val="0"/>
        <w:pageBreakBefore w:val="0"/>
        <w:numPr>
          <w:ilvl w:val="0"/>
          <w:numId w:val="0"/>
        </w:numPr>
        <w:kinsoku/>
        <w:wordWrap/>
        <w:overflowPunct/>
        <w:topLinePunct w:val="0"/>
        <w:autoSpaceDE/>
        <w:autoSpaceDN/>
        <w:bidi w:val="0"/>
        <w:adjustRightInd/>
        <w:spacing w:line="360" w:lineRule="auto"/>
        <w:ind w:firstLine="422" w:firstLineChars="200"/>
        <w:textAlignment w:val="auto"/>
        <w:rPr>
          <w:rFonts w:hint="eastAsia" w:ascii="宋体" w:hAnsi="宋体" w:eastAsia="宋体" w:cs="宋体"/>
          <w:b/>
          <w:bCs w:val="0"/>
          <w:kern w:val="0"/>
          <w:sz w:val="21"/>
          <w:szCs w:val="21"/>
          <w:highlight w:val="none"/>
          <w:lang w:val="en-US" w:eastAsia="zh-CN"/>
        </w:rPr>
      </w:pPr>
      <w:r>
        <w:rPr>
          <w:rFonts w:hint="eastAsia" w:ascii="宋体" w:hAnsi="宋体" w:eastAsia="宋体" w:cs="宋体"/>
          <w:b/>
          <w:bCs/>
          <w:kern w:val="0"/>
          <w:sz w:val="21"/>
          <w:szCs w:val="21"/>
          <w:highlight w:val="none"/>
          <w:lang w:val="en-US" w:eastAsia="zh-CN"/>
        </w:rPr>
        <w:t>三、</w:t>
      </w:r>
      <w:r>
        <w:rPr>
          <w:rFonts w:hint="eastAsia" w:ascii="宋体" w:hAnsi="宋体" w:eastAsia="宋体" w:cs="宋体"/>
          <w:b/>
          <w:bCs w:val="0"/>
          <w:kern w:val="0"/>
          <w:sz w:val="21"/>
          <w:szCs w:val="21"/>
          <w:highlight w:val="none"/>
          <w:lang w:val="en-US" w:eastAsia="zh-CN"/>
        </w:rPr>
        <w:t>活动规则</w:t>
      </w:r>
    </w:p>
    <w:p>
      <w:pPr>
        <w:keepNext w:val="0"/>
        <w:keepLines w:val="0"/>
        <w:pageBreakBefore w:val="0"/>
        <w:numPr>
          <w:ilvl w:val="0"/>
          <w:numId w:val="0"/>
        </w:numPr>
        <w:kinsoku/>
        <w:wordWrap/>
        <w:overflowPunct/>
        <w:topLinePunct w:val="0"/>
        <w:autoSpaceDE/>
        <w:autoSpaceDN/>
        <w:bidi w:val="0"/>
        <w:adjustRightInd/>
        <w:spacing w:line="360" w:lineRule="auto"/>
        <w:ind w:firstLine="420" w:firstLineChars="200"/>
        <w:textAlignment w:val="auto"/>
        <w:rPr>
          <w:rFonts w:hint="eastAsia" w:ascii="宋体" w:hAnsi="宋体" w:eastAsia="宋体" w:cs="宋体"/>
          <w:bCs/>
          <w:kern w:val="0"/>
          <w:sz w:val="21"/>
          <w:szCs w:val="21"/>
          <w:highlight w:val="none"/>
          <w:lang w:val="en-US" w:eastAsia="zh-CN"/>
        </w:rPr>
      </w:pPr>
      <w:r>
        <w:rPr>
          <w:rFonts w:hint="eastAsia" w:ascii="宋体" w:hAnsi="宋体" w:eastAsia="宋体" w:cs="宋体"/>
          <w:bCs/>
          <w:kern w:val="0"/>
          <w:sz w:val="21"/>
          <w:szCs w:val="21"/>
          <w:highlight w:val="none"/>
          <w:lang w:val="en-US" w:eastAsia="zh-CN"/>
        </w:rPr>
        <w:t>1.贵单位参与农业银行商户“惠存会省2.0”活动，</w:t>
      </w:r>
      <w:r>
        <w:rPr>
          <w:rFonts w:hint="eastAsia"/>
          <w:highlight w:val="none"/>
          <w:lang w:val="en-US" w:eastAsia="zh-CN"/>
        </w:rPr>
        <w:t>每月可按照活动规则享有优惠收款额度</w:t>
      </w:r>
      <w:r>
        <w:rPr>
          <w:rFonts w:hint="eastAsia" w:ascii="宋体" w:hAnsi="宋体" w:eastAsia="宋体" w:cs="宋体"/>
          <w:bCs/>
          <w:kern w:val="0"/>
          <w:sz w:val="21"/>
          <w:szCs w:val="21"/>
          <w:highlight w:val="none"/>
          <w:lang w:val="en-US" w:eastAsia="zh-CN"/>
        </w:rPr>
        <w:t>，农业银行对贵单位该部分收款金额实施手续费优惠。具体规则如下:</w:t>
      </w:r>
    </w:p>
    <w:p>
      <w:pPr>
        <w:keepNext w:val="0"/>
        <w:keepLines w:val="0"/>
        <w:pageBreakBefore w:val="0"/>
        <w:numPr>
          <w:ilvl w:val="0"/>
          <w:numId w:val="0"/>
        </w:numPr>
        <w:kinsoku/>
        <w:wordWrap/>
        <w:overflowPunct/>
        <w:topLinePunct w:val="0"/>
        <w:autoSpaceDE/>
        <w:autoSpaceDN/>
        <w:bidi w:val="0"/>
        <w:adjustRightInd/>
        <w:spacing w:line="360" w:lineRule="auto"/>
        <w:ind w:firstLine="422" w:firstLineChars="200"/>
        <w:textAlignment w:val="auto"/>
        <w:rPr>
          <w:rFonts w:hint="eastAsia" w:ascii="黑体" w:hAnsi="黑体" w:eastAsia="黑体" w:cs="黑体"/>
          <w:b/>
          <w:bCs/>
          <w:kern w:val="2"/>
          <w:sz w:val="21"/>
          <w:szCs w:val="21"/>
          <w:highlight w:val="none"/>
          <w:lang w:val="en-US" w:eastAsia="zh-CN"/>
        </w:rPr>
      </w:pPr>
      <w:r>
        <w:rPr>
          <w:rFonts w:hint="eastAsia" w:ascii="黑体" w:hAnsi="黑体" w:eastAsia="黑体" w:cs="黑体"/>
          <w:b/>
          <w:bCs/>
          <w:kern w:val="2"/>
          <w:sz w:val="21"/>
          <w:szCs w:val="21"/>
          <w:highlight w:val="none"/>
          <w:lang w:val="en-US" w:eastAsia="zh-CN"/>
        </w:rPr>
        <w:t>（1）贵单位使用农业银行商户</w:t>
      </w:r>
      <w:r>
        <w:rPr>
          <w:rFonts w:hint="eastAsia" w:ascii="黑体" w:hAnsi="黑体" w:eastAsia="黑体" w:cs="黑体"/>
          <w:b/>
          <w:bCs/>
          <w:kern w:val="2"/>
          <w:szCs w:val="21"/>
          <w:highlight w:val="none"/>
        </w:rPr>
        <w:t>收款</w:t>
      </w:r>
      <w:r>
        <w:rPr>
          <w:rFonts w:hint="eastAsia" w:ascii="黑体" w:hAnsi="黑体" w:eastAsia="黑体" w:cs="黑体"/>
          <w:b/>
          <w:bCs/>
          <w:kern w:val="2"/>
          <w:szCs w:val="21"/>
          <w:highlight w:val="none"/>
          <w:lang w:val="en-US" w:eastAsia="zh-CN"/>
        </w:rPr>
        <w:t>服务，且</w:t>
      </w:r>
      <w:r>
        <w:rPr>
          <w:rFonts w:hint="eastAsia" w:ascii="黑体" w:hAnsi="黑体" w:eastAsia="黑体" w:cs="黑体"/>
          <w:b/>
          <w:bCs/>
          <w:sz w:val="21"/>
          <w:szCs w:val="21"/>
          <w:highlight w:val="none"/>
          <w:lang w:val="en-US" w:eastAsia="zh-CN"/>
        </w:rPr>
        <w:t>按双方签订的商户合作协议或静态聚合码业务服务协议</w:t>
      </w:r>
      <w:r>
        <w:rPr>
          <w:rFonts w:hint="eastAsia" w:ascii="黑体" w:hAnsi="黑体" w:eastAsia="黑体" w:cs="黑体"/>
          <w:b/>
          <w:bCs/>
          <w:sz w:val="21"/>
          <w:szCs w:val="21"/>
          <w:highlight w:val="none"/>
          <w:lang w:eastAsia="zh-CN"/>
        </w:rPr>
        <w:t>约定的手续费标准向农业银行缴付手续费</w:t>
      </w:r>
      <w:r>
        <w:rPr>
          <w:rFonts w:hint="eastAsia" w:ascii="黑体" w:hAnsi="黑体" w:eastAsia="黑体" w:cs="黑体"/>
          <w:b/>
          <w:bCs/>
          <w:kern w:val="2"/>
          <w:szCs w:val="21"/>
          <w:highlight w:val="none"/>
          <w:lang w:eastAsia="zh-CN"/>
        </w:rPr>
        <w:t>。农业银行每月向</w:t>
      </w:r>
      <w:r>
        <w:rPr>
          <w:rFonts w:hint="eastAsia" w:ascii="黑体" w:hAnsi="黑体" w:eastAsia="黑体" w:cs="黑体"/>
          <w:b/>
          <w:bCs/>
          <w:kern w:val="2"/>
          <w:szCs w:val="21"/>
          <w:highlight w:val="none"/>
          <w:lang w:val="en-US" w:eastAsia="zh-CN"/>
        </w:rPr>
        <w:t>贵单位提供一定额度的收款手续费优惠。活动期间，在贵单位每月可享的</w:t>
      </w:r>
      <w:r>
        <w:rPr>
          <w:rFonts w:hint="eastAsia" w:ascii="黑体" w:hAnsi="黑体" w:eastAsia="黑体" w:cs="黑体"/>
          <w:b/>
          <w:bCs/>
          <w:kern w:val="2"/>
          <w:sz w:val="21"/>
          <w:szCs w:val="21"/>
          <w:highlight w:val="none"/>
          <w:lang w:val="en-US" w:eastAsia="zh-CN"/>
        </w:rPr>
        <w:t>优惠收款额度内，农业银行将减免该部分优惠额度对应的手续费。商户收款超过享有的优惠收款额度后，</w:t>
      </w:r>
      <w:r>
        <w:rPr>
          <w:rFonts w:hint="eastAsia" w:ascii="黑体" w:hAnsi="黑体" w:eastAsia="黑体" w:cs="黑体"/>
          <w:b/>
          <w:bCs/>
          <w:kern w:val="2"/>
          <w:szCs w:val="21"/>
          <w:highlight w:val="none"/>
        </w:rPr>
        <w:t>农业银行按照</w:t>
      </w:r>
      <w:r>
        <w:rPr>
          <w:rFonts w:hint="eastAsia" w:ascii="黑体" w:hAnsi="黑体" w:eastAsia="黑体" w:cs="黑体"/>
          <w:b/>
          <w:bCs/>
          <w:kern w:val="2"/>
          <w:szCs w:val="21"/>
          <w:highlight w:val="none"/>
          <w:lang w:eastAsia="zh-CN"/>
        </w:rPr>
        <w:t>双方</w:t>
      </w:r>
      <w:r>
        <w:rPr>
          <w:rFonts w:hint="eastAsia" w:ascii="黑体" w:hAnsi="黑体" w:eastAsia="黑体" w:cs="黑体"/>
          <w:b/>
          <w:bCs/>
          <w:kern w:val="2"/>
          <w:szCs w:val="21"/>
          <w:highlight w:val="none"/>
        </w:rPr>
        <w:t>协议约定</w:t>
      </w:r>
      <w:r>
        <w:rPr>
          <w:rFonts w:hint="eastAsia" w:ascii="黑体" w:hAnsi="黑体" w:eastAsia="黑体" w:cs="黑体"/>
          <w:b/>
          <w:bCs/>
          <w:kern w:val="2"/>
          <w:szCs w:val="21"/>
          <w:highlight w:val="none"/>
          <w:lang w:eastAsia="zh-CN"/>
        </w:rPr>
        <w:t>的标准</w:t>
      </w:r>
      <w:r>
        <w:rPr>
          <w:rFonts w:hint="eastAsia" w:ascii="黑体" w:hAnsi="黑体" w:eastAsia="黑体" w:cs="黑体"/>
          <w:b/>
          <w:bCs/>
          <w:kern w:val="2"/>
          <w:szCs w:val="21"/>
          <w:highlight w:val="none"/>
        </w:rPr>
        <w:t>费率</w:t>
      </w:r>
      <w:r>
        <w:rPr>
          <w:rFonts w:hint="eastAsia" w:ascii="黑体" w:hAnsi="黑体" w:eastAsia="黑体" w:cs="黑体"/>
          <w:b/>
          <w:bCs/>
          <w:kern w:val="2"/>
          <w:szCs w:val="21"/>
          <w:highlight w:val="none"/>
          <w:lang w:eastAsia="zh-CN"/>
        </w:rPr>
        <w:t>收取</w:t>
      </w:r>
      <w:r>
        <w:rPr>
          <w:rFonts w:hint="eastAsia" w:ascii="黑体" w:hAnsi="黑体" w:eastAsia="黑体" w:cs="黑体"/>
          <w:b/>
          <w:bCs/>
          <w:kern w:val="2"/>
          <w:szCs w:val="21"/>
          <w:highlight w:val="none"/>
        </w:rPr>
        <w:t>手续费</w:t>
      </w:r>
      <w:r>
        <w:rPr>
          <w:rFonts w:hint="eastAsia" w:ascii="黑体" w:hAnsi="黑体" w:eastAsia="黑体" w:cs="黑体"/>
          <w:b/>
          <w:bCs/>
          <w:kern w:val="2"/>
          <w:szCs w:val="21"/>
          <w:highlight w:val="none"/>
          <w:lang w:eastAsia="zh-CN"/>
        </w:rPr>
        <w:t>，</w:t>
      </w:r>
      <w:r>
        <w:rPr>
          <w:rFonts w:hint="eastAsia" w:ascii="黑体" w:hAnsi="黑体" w:eastAsia="黑体" w:cs="黑体"/>
          <w:b/>
          <w:bCs/>
          <w:kern w:val="2"/>
          <w:szCs w:val="21"/>
          <w:highlight w:val="none"/>
        </w:rPr>
        <w:t>不再进行</w:t>
      </w:r>
      <w:r>
        <w:rPr>
          <w:rFonts w:hint="eastAsia" w:ascii="黑体" w:hAnsi="黑体" w:eastAsia="黑体" w:cs="黑体"/>
          <w:b/>
          <w:bCs/>
          <w:kern w:val="2"/>
          <w:szCs w:val="21"/>
          <w:highlight w:val="none"/>
          <w:lang w:val="en-US" w:eastAsia="zh-CN"/>
        </w:rPr>
        <w:t>减免</w:t>
      </w:r>
      <w:r>
        <w:rPr>
          <w:rFonts w:hint="eastAsia" w:ascii="黑体" w:hAnsi="黑体" w:eastAsia="黑体" w:cs="黑体"/>
          <w:b/>
          <w:bCs/>
          <w:kern w:val="2"/>
          <w:sz w:val="21"/>
          <w:szCs w:val="21"/>
          <w:highlight w:val="none"/>
          <w:lang w:val="en-US" w:eastAsia="zh-CN"/>
        </w:rPr>
        <w:t>。</w:t>
      </w:r>
    </w:p>
    <w:p>
      <w:pPr>
        <w:keepNext w:val="0"/>
        <w:keepLines w:val="0"/>
        <w:pageBreakBefore w:val="0"/>
        <w:numPr>
          <w:ilvl w:val="0"/>
          <w:numId w:val="0"/>
        </w:numPr>
        <w:kinsoku/>
        <w:wordWrap/>
        <w:overflowPunct/>
        <w:topLinePunct w:val="0"/>
        <w:autoSpaceDE/>
        <w:autoSpaceDN/>
        <w:bidi w:val="0"/>
        <w:adjustRightInd/>
        <w:spacing w:line="360" w:lineRule="auto"/>
        <w:ind w:firstLine="422" w:firstLineChars="200"/>
        <w:textAlignment w:val="auto"/>
        <w:rPr>
          <w:rFonts w:hint="eastAsia" w:ascii="黑体" w:hAnsi="黑体" w:eastAsia="黑体" w:cs="黑体"/>
          <w:b/>
          <w:bCs/>
          <w:sz w:val="21"/>
          <w:szCs w:val="21"/>
          <w:highlight w:val="none"/>
          <w:lang w:val="en-US" w:eastAsia="zh-CN"/>
        </w:rPr>
      </w:pPr>
      <w:r>
        <w:rPr>
          <w:rFonts w:hint="eastAsia" w:ascii="黑体" w:hAnsi="黑体" w:eastAsia="黑体" w:cs="黑体"/>
          <w:b/>
          <w:bCs/>
          <w:kern w:val="2"/>
          <w:sz w:val="21"/>
          <w:szCs w:val="21"/>
          <w:highlight w:val="none"/>
          <w:lang w:val="en-US" w:eastAsia="zh-CN"/>
        </w:rPr>
        <w:t>（2）</w:t>
      </w:r>
      <w:r>
        <w:rPr>
          <w:rFonts w:hint="eastAsia" w:ascii="黑体" w:hAnsi="黑体" w:eastAsia="黑体" w:cs="黑体"/>
          <w:b/>
          <w:bCs/>
          <w:sz w:val="21"/>
          <w:szCs w:val="21"/>
          <w:highlight w:val="none"/>
          <w:lang w:val="en-US" w:eastAsia="zh-CN"/>
        </w:rPr>
        <w:t>贵单位每月可享的</w:t>
      </w:r>
      <w:r>
        <w:rPr>
          <w:rFonts w:hint="eastAsia" w:ascii="黑体" w:hAnsi="黑体" w:eastAsia="黑体" w:cs="黑体"/>
          <w:b/>
          <w:bCs/>
          <w:kern w:val="2"/>
          <w:sz w:val="21"/>
          <w:szCs w:val="21"/>
          <w:highlight w:val="none"/>
          <w:lang w:val="en-US" w:eastAsia="zh-CN"/>
        </w:rPr>
        <w:t>优惠收款额度</w:t>
      </w:r>
      <w:r>
        <w:rPr>
          <w:rFonts w:hint="eastAsia" w:ascii="黑体" w:hAnsi="黑体" w:eastAsia="黑体" w:cs="黑体"/>
          <w:b/>
          <w:bCs/>
          <w:sz w:val="21"/>
          <w:szCs w:val="21"/>
          <w:highlight w:val="none"/>
          <w:lang w:val="en-US" w:eastAsia="zh-CN"/>
        </w:rPr>
        <w:t>，由农业银行根据贵单位在农业银行上月月末资金1倍和上月月日均AUM值的1倍二者孰高值计算得出。</w:t>
      </w:r>
      <w:r>
        <w:rPr>
          <w:rFonts w:hint="eastAsia" w:ascii="黑体" w:hAnsi="黑体" w:eastAsia="黑体" w:cs="黑体"/>
          <w:b/>
          <w:bCs/>
          <w:szCs w:val="21"/>
          <w:highlight w:val="none"/>
        </w:rPr>
        <w:t>本活动中的优惠收款额度具体统计周期为每月5日起至次月4日。</w:t>
      </w:r>
    </w:p>
    <w:p>
      <w:pPr>
        <w:keepNext w:val="0"/>
        <w:keepLines w:val="0"/>
        <w:pageBreakBefore w:val="0"/>
        <w:numPr>
          <w:ilvl w:val="0"/>
          <w:numId w:val="0"/>
        </w:numPr>
        <w:kinsoku/>
        <w:wordWrap/>
        <w:overflowPunct/>
        <w:topLinePunct w:val="0"/>
        <w:autoSpaceDE/>
        <w:autoSpaceDN/>
        <w:bidi w:val="0"/>
        <w:adjustRightInd/>
        <w:spacing w:line="360" w:lineRule="auto"/>
        <w:ind w:firstLine="422" w:firstLineChars="200"/>
        <w:textAlignment w:val="auto"/>
        <w:rPr>
          <w:rFonts w:hint="eastAsia" w:ascii="黑体" w:hAnsi="黑体" w:eastAsia="黑体" w:cs="黑体"/>
          <w:b/>
          <w:bCs/>
          <w:sz w:val="21"/>
          <w:szCs w:val="21"/>
          <w:highlight w:val="none"/>
          <w:lang w:val="en-US" w:eastAsia="zh-CN"/>
        </w:rPr>
      </w:pPr>
      <w:r>
        <w:rPr>
          <w:rFonts w:hint="eastAsia" w:ascii="黑体" w:hAnsi="黑体" w:eastAsia="黑体" w:cs="黑体"/>
          <w:b/>
          <w:bCs/>
          <w:kern w:val="2"/>
          <w:sz w:val="21"/>
          <w:szCs w:val="21"/>
          <w:highlight w:val="none"/>
          <w:lang w:val="en-US" w:eastAsia="zh-CN"/>
        </w:rPr>
        <w:t>（3）</w:t>
      </w:r>
      <w:r>
        <w:rPr>
          <w:rFonts w:hint="eastAsia" w:ascii="黑体" w:hAnsi="黑体" w:eastAsia="黑体" w:cs="黑体"/>
          <w:b/>
          <w:bCs/>
          <w:sz w:val="21"/>
          <w:szCs w:val="21"/>
          <w:highlight w:val="none"/>
          <w:lang w:val="en-US" w:eastAsia="zh-CN"/>
        </w:rPr>
        <w:t>贵单位每月（含首月）享有的优惠收款额度上限为</w:t>
      </w:r>
      <w:r>
        <w:rPr>
          <w:rFonts w:hint="eastAsia" w:ascii="黑体" w:hAnsi="黑体" w:eastAsia="黑体" w:cs="黑体"/>
          <w:b/>
          <w:bCs/>
          <w:color w:val="auto"/>
          <w:sz w:val="21"/>
          <w:szCs w:val="21"/>
          <w:highlight w:val="none"/>
          <w:u w:val="single"/>
          <w:lang w:val="en-US" w:eastAsia="zh-CN"/>
        </w:rPr>
        <w:t>1亿</w:t>
      </w:r>
      <w:r>
        <w:rPr>
          <w:rFonts w:hint="eastAsia" w:ascii="黑体" w:hAnsi="黑体" w:eastAsia="黑体" w:cs="黑体"/>
          <w:b/>
          <w:bCs/>
          <w:sz w:val="21"/>
          <w:szCs w:val="21"/>
          <w:highlight w:val="none"/>
          <w:u w:val="single"/>
          <w:lang w:val="en-US" w:eastAsia="zh-CN"/>
        </w:rPr>
        <w:t>元</w:t>
      </w:r>
      <w:r>
        <w:rPr>
          <w:rFonts w:hint="eastAsia" w:ascii="黑体" w:hAnsi="黑体" w:eastAsia="黑体" w:cs="黑体"/>
          <w:b/>
          <w:bCs/>
          <w:color w:val="auto"/>
          <w:sz w:val="21"/>
          <w:szCs w:val="21"/>
          <w:highlight w:val="none"/>
          <w:u w:val="none"/>
          <w:lang w:val="en-US" w:eastAsia="zh-CN"/>
        </w:rPr>
        <w:t>元</w:t>
      </w:r>
      <w:r>
        <w:rPr>
          <w:rFonts w:hint="eastAsia" w:ascii="黑体" w:hAnsi="黑体" w:eastAsia="黑体" w:cs="黑体"/>
          <w:b/>
          <w:bCs/>
          <w:sz w:val="21"/>
          <w:szCs w:val="21"/>
          <w:highlight w:val="none"/>
          <w:lang w:val="en-US" w:eastAsia="zh-CN"/>
        </w:rPr>
        <w:t>人民币（优惠额度内的收款笔数不限，≥1笔），如贵单位每月按照上月月日均资金计算得出的优惠收款额度超过该上限，贵单位可享有的实际优惠收款额度以该上限额度为准。</w:t>
      </w:r>
    </w:p>
    <w:p>
      <w:pPr>
        <w:keepNext w:val="0"/>
        <w:keepLines w:val="0"/>
        <w:pageBreakBefore w:val="0"/>
        <w:numPr>
          <w:ilvl w:val="0"/>
          <w:numId w:val="0"/>
        </w:numPr>
        <w:kinsoku/>
        <w:wordWrap/>
        <w:overflowPunct/>
        <w:topLinePunct w:val="0"/>
        <w:autoSpaceDE/>
        <w:autoSpaceDN/>
        <w:bidi w:val="0"/>
        <w:adjustRightInd/>
        <w:spacing w:line="360" w:lineRule="auto"/>
        <w:ind w:firstLine="422" w:firstLineChars="200"/>
        <w:textAlignment w:val="auto"/>
        <w:rPr>
          <w:rFonts w:hint="default" w:ascii="黑体" w:hAnsi="黑体" w:eastAsia="黑体" w:cs="黑体"/>
          <w:b/>
          <w:bCs/>
          <w:sz w:val="21"/>
          <w:szCs w:val="21"/>
          <w:highlight w:val="none"/>
          <w:lang w:val="en-US" w:eastAsia="zh-CN"/>
        </w:rPr>
      </w:pPr>
      <w:r>
        <w:rPr>
          <w:rFonts w:hint="eastAsia" w:ascii="黑体" w:hAnsi="黑体" w:eastAsia="黑体" w:cs="黑体"/>
          <w:b/>
          <w:bCs/>
          <w:kern w:val="2"/>
          <w:sz w:val="21"/>
          <w:szCs w:val="21"/>
          <w:highlight w:val="none"/>
          <w:lang w:val="en-US" w:eastAsia="zh-CN"/>
        </w:rPr>
        <w:t>（4）</w:t>
      </w:r>
      <w:r>
        <w:rPr>
          <w:rFonts w:hint="eastAsia" w:ascii="黑体" w:hAnsi="黑体" w:eastAsia="黑体" w:cs="黑体"/>
          <w:b/>
          <w:bCs/>
          <w:sz w:val="21"/>
          <w:szCs w:val="21"/>
          <w:highlight w:val="none"/>
          <w:lang w:val="en-US" w:eastAsia="zh-CN"/>
        </w:rPr>
        <w:t>贵单位每月享有的优惠收款额度使用完毕后，当月剩余收款金额须按双方签订的商户合作协议或静态聚合码业务服务协议</w:t>
      </w:r>
      <w:r>
        <w:rPr>
          <w:rFonts w:hint="eastAsia" w:ascii="黑体" w:hAnsi="黑体" w:eastAsia="黑体" w:cs="黑体"/>
          <w:b/>
          <w:bCs/>
          <w:sz w:val="21"/>
          <w:szCs w:val="21"/>
          <w:highlight w:val="none"/>
          <w:lang w:eastAsia="zh-CN"/>
        </w:rPr>
        <w:t>约定的手续费标准向农业银行缴付手续费，农业银行</w:t>
      </w:r>
      <w:r>
        <w:rPr>
          <w:rFonts w:hint="eastAsia" w:ascii="黑体" w:hAnsi="黑体" w:eastAsia="黑体" w:cs="黑体"/>
          <w:b/>
          <w:bCs/>
          <w:sz w:val="21"/>
          <w:szCs w:val="21"/>
          <w:highlight w:val="none"/>
          <w:lang w:val="en-US" w:eastAsia="zh-CN"/>
        </w:rPr>
        <w:t>不再进行手续费减免。单笔超出优惠收款额度剩余额度的交易，农业银行根据商户优惠收款额度剩余额度按比例减免该笔交易的手续费。例如：商户当月优惠收款额度剩余2000元，商户此时受理一笔5000元交易，农业银行将减免该笔交易标准手续费的40%，具体减免计算规则为：2000/5000*协议标准手续费率。</w:t>
      </w:r>
    </w:p>
    <w:p>
      <w:pPr>
        <w:keepNext w:val="0"/>
        <w:keepLines w:val="0"/>
        <w:pageBreakBefore w:val="0"/>
        <w:numPr>
          <w:ilvl w:val="0"/>
          <w:numId w:val="0"/>
        </w:numPr>
        <w:kinsoku/>
        <w:wordWrap/>
        <w:overflowPunct/>
        <w:topLinePunct w:val="0"/>
        <w:autoSpaceDE/>
        <w:autoSpaceDN/>
        <w:bidi w:val="0"/>
        <w:adjustRightInd/>
        <w:spacing w:line="360" w:lineRule="auto"/>
        <w:ind w:firstLine="422" w:firstLineChars="200"/>
        <w:textAlignment w:val="auto"/>
        <w:rPr>
          <w:rFonts w:hint="eastAsia" w:ascii="黑体" w:hAnsi="黑体" w:eastAsia="黑体" w:cs="黑体"/>
          <w:b/>
          <w:bCs/>
          <w:sz w:val="21"/>
          <w:szCs w:val="21"/>
          <w:highlight w:val="none"/>
          <w:lang w:val="en-US" w:eastAsia="zh-CN"/>
        </w:rPr>
      </w:pPr>
      <w:r>
        <w:rPr>
          <w:rFonts w:hint="eastAsia" w:ascii="黑体" w:hAnsi="黑体" w:eastAsia="黑体" w:cs="黑体"/>
          <w:b/>
          <w:bCs/>
          <w:kern w:val="2"/>
          <w:sz w:val="21"/>
          <w:szCs w:val="21"/>
          <w:highlight w:val="none"/>
          <w:lang w:val="en-US" w:eastAsia="zh-CN"/>
        </w:rPr>
        <w:t>（5）贵单位可通过“农行商户服务”公众号查询每月享受的</w:t>
      </w:r>
      <w:r>
        <w:rPr>
          <w:rFonts w:hint="eastAsia" w:ascii="黑体" w:hAnsi="黑体" w:eastAsia="黑体" w:cs="黑体"/>
          <w:b/>
          <w:bCs/>
          <w:sz w:val="21"/>
          <w:szCs w:val="21"/>
          <w:highlight w:val="none"/>
          <w:lang w:val="en-US" w:eastAsia="zh-CN"/>
        </w:rPr>
        <w:t>优惠收款额度</w:t>
      </w:r>
      <w:r>
        <w:rPr>
          <w:rFonts w:hint="eastAsia" w:ascii="黑体" w:hAnsi="黑体" w:eastAsia="黑体" w:cs="黑体"/>
          <w:b/>
          <w:bCs/>
          <w:kern w:val="2"/>
          <w:sz w:val="21"/>
          <w:szCs w:val="21"/>
          <w:highlight w:val="none"/>
          <w:lang w:val="en-US" w:eastAsia="zh-CN"/>
        </w:rPr>
        <w:t>。</w:t>
      </w:r>
      <w:r>
        <w:rPr>
          <w:rFonts w:hint="eastAsia" w:ascii="黑体" w:hAnsi="黑体" w:eastAsia="黑体" w:cs="黑体"/>
          <w:b/>
          <w:bCs/>
          <w:sz w:val="21"/>
          <w:szCs w:val="21"/>
          <w:highlight w:val="none"/>
          <w:lang w:val="en-US" w:eastAsia="zh-CN"/>
        </w:rPr>
        <w:t>贵单位每月享有的优惠收款额度自当月5日起至次月4日有效，贵单位当月统计周期内未使用或仅部分使用优惠收款额度的，剩余优惠额度自动清零，不累计至下个统计周期。</w:t>
      </w:r>
    </w:p>
    <w:p>
      <w:pPr>
        <w:keepNext w:val="0"/>
        <w:keepLines w:val="0"/>
        <w:pageBreakBefore w:val="0"/>
        <w:numPr>
          <w:ilvl w:val="0"/>
          <w:numId w:val="0"/>
        </w:numPr>
        <w:kinsoku/>
        <w:wordWrap/>
        <w:overflowPunct/>
        <w:topLinePunct w:val="0"/>
        <w:autoSpaceDE/>
        <w:autoSpaceDN/>
        <w:bidi w:val="0"/>
        <w:adjustRightInd/>
        <w:spacing w:line="360" w:lineRule="auto"/>
        <w:ind w:firstLine="422" w:firstLineChars="200"/>
        <w:textAlignment w:val="auto"/>
        <w:rPr>
          <w:rFonts w:hint="default" w:ascii="黑体" w:hAnsi="黑体" w:eastAsia="黑体" w:cs="黑体"/>
          <w:b w:val="0"/>
          <w:bCs w:val="0"/>
          <w:sz w:val="21"/>
          <w:szCs w:val="21"/>
          <w:highlight w:val="none"/>
          <w:lang w:val="en-US" w:eastAsia="zh-CN"/>
        </w:rPr>
      </w:pPr>
      <w:r>
        <w:rPr>
          <w:rFonts w:hint="eastAsia" w:ascii="黑体" w:hAnsi="黑体" w:eastAsia="黑体" w:cs="黑体"/>
          <w:b/>
          <w:bCs/>
          <w:sz w:val="21"/>
          <w:szCs w:val="21"/>
          <w:highlight w:val="none"/>
          <w:lang w:val="en-US" w:eastAsia="zh-CN"/>
        </w:rPr>
        <w:t>（6）</w:t>
      </w:r>
      <w:r>
        <w:rPr>
          <w:rFonts w:hint="eastAsia" w:ascii="黑体" w:hAnsi="黑体" w:eastAsia="黑体" w:cs="黑体"/>
          <w:b/>
          <w:bCs/>
          <w:kern w:val="2"/>
          <w:sz w:val="21"/>
          <w:szCs w:val="21"/>
          <w:highlight w:val="none"/>
          <w:lang w:val="en-US" w:eastAsia="zh-CN"/>
        </w:rPr>
        <w:t>贵单位如同时申请参加“手续费优惠活动”和“惠存会省2.0”活动，“手续费优惠活动”先于“惠存会省2.0”活动执行</w:t>
      </w:r>
      <w:r>
        <w:rPr>
          <w:rFonts w:hint="eastAsia" w:ascii="黑体" w:hAnsi="黑体" w:eastAsia="黑体" w:cs="黑体"/>
          <w:b/>
          <w:bCs/>
          <w:sz w:val="21"/>
          <w:szCs w:val="21"/>
          <w:highlight w:val="none"/>
          <w:lang w:val="en-US" w:eastAsia="zh-CN"/>
        </w:rPr>
        <w:t>；</w:t>
      </w:r>
      <w:r>
        <w:rPr>
          <w:rFonts w:hint="eastAsia" w:ascii="黑体" w:hAnsi="黑体" w:eastAsia="黑体" w:cs="黑体"/>
          <w:b/>
          <w:bCs/>
          <w:kern w:val="2"/>
          <w:sz w:val="21"/>
          <w:szCs w:val="21"/>
          <w:highlight w:val="none"/>
          <w:lang w:val="en-US" w:eastAsia="zh-CN"/>
        </w:rPr>
        <w:t>如贵单位在签署本告知书前已与农业银行签署</w:t>
      </w:r>
      <w:r>
        <w:rPr>
          <w:rFonts w:hint="eastAsia" w:ascii="黑体" w:hAnsi="黑体" w:eastAsia="黑体" w:cs="黑体"/>
          <w:b/>
          <w:bCs/>
          <w:sz w:val="21"/>
          <w:szCs w:val="21"/>
          <w:highlight w:val="none"/>
          <w:lang w:val="en-US" w:eastAsia="zh-CN"/>
        </w:rPr>
        <w:t>商户合作协议或静态聚合码业务服务协议、</w:t>
      </w:r>
      <w:r>
        <w:rPr>
          <w:rFonts w:hint="eastAsia" w:ascii="黑体" w:hAnsi="黑体" w:eastAsia="黑体" w:cs="黑体"/>
          <w:b/>
          <w:bCs/>
          <w:kern w:val="2"/>
          <w:sz w:val="21"/>
          <w:szCs w:val="21"/>
          <w:highlight w:val="none"/>
          <w:lang w:val="en-US" w:eastAsia="zh-CN"/>
        </w:rPr>
        <w:t>成为农业银行商户的，农业银行将对符合活动条件的商户进行活动通知，并按照具体活动通知细则执行。</w:t>
      </w:r>
    </w:p>
    <w:p>
      <w:pPr>
        <w:keepNext w:val="0"/>
        <w:keepLines w:val="0"/>
        <w:pageBreakBefore w:val="0"/>
        <w:numPr>
          <w:ilvl w:val="0"/>
          <w:numId w:val="0"/>
        </w:numPr>
        <w:kinsoku/>
        <w:wordWrap/>
        <w:overflowPunct/>
        <w:topLinePunct w:val="0"/>
        <w:autoSpaceDE/>
        <w:autoSpaceDN/>
        <w:bidi w:val="0"/>
        <w:adjustRightInd/>
        <w:spacing w:line="360" w:lineRule="auto"/>
        <w:ind w:firstLine="420" w:firstLineChars="200"/>
        <w:textAlignment w:val="auto"/>
        <w:rPr>
          <w:rFonts w:hint="eastAsia" w:ascii="宋体" w:hAnsi="宋体" w:eastAsia="宋体" w:cs="宋体"/>
          <w:bCs w:val="0"/>
          <w:kern w:val="0"/>
          <w:sz w:val="21"/>
          <w:szCs w:val="21"/>
          <w:highlight w:val="none"/>
          <w:lang w:val="en-US" w:eastAsia="zh-CN"/>
        </w:rPr>
      </w:pPr>
      <w:r>
        <w:rPr>
          <w:rFonts w:hint="eastAsia" w:ascii="宋体" w:hAnsi="宋体" w:eastAsia="宋体" w:cs="宋体"/>
          <w:b w:val="0"/>
          <w:bCs w:val="0"/>
          <w:kern w:val="0"/>
          <w:sz w:val="21"/>
          <w:szCs w:val="21"/>
          <w:highlight w:val="none"/>
          <w:lang w:val="en-US" w:eastAsia="zh-CN" w:bidi="ar-SA"/>
        </w:rPr>
        <w:t>2.贵单位可享受的“惠存会省2.0”活动具体以农业银行统计规则和数据为准。</w:t>
      </w:r>
      <w:r>
        <w:rPr>
          <w:rFonts w:hint="eastAsia" w:ascii="宋体" w:hAnsi="宋体" w:eastAsia="宋体" w:cs="宋体"/>
          <w:bCs w:val="0"/>
          <w:kern w:val="0"/>
          <w:sz w:val="21"/>
          <w:szCs w:val="21"/>
          <w:highlight w:val="none"/>
          <w:lang w:val="en-US" w:eastAsia="zh-CN" w:bidi="ar-SA"/>
        </w:rPr>
        <w:br w:type="textWrapping"/>
      </w:r>
      <w:r>
        <w:rPr>
          <w:rFonts w:hint="eastAsia" w:ascii="宋体" w:hAnsi="宋体" w:eastAsia="宋体" w:cs="宋体"/>
          <w:bCs w:val="0"/>
          <w:kern w:val="0"/>
          <w:sz w:val="21"/>
          <w:szCs w:val="21"/>
          <w:highlight w:val="none"/>
          <w:lang w:val="en-US" w:eastAsia="zh-CN" w:bidi="ar-SA"/>
        </w:rPr>
        <w:t xml:space="preserve">    </w:t>
      </w:r>
      <w:r>
        <w:rPr>
          <w:rFonts w:hint="eastAsia" w:ascii="黑体" w:hAnsi="黑体" w:eastAsia="黑体" w:cs="黑体"/>
          <w:b/>
          <w:bCs/>
          <w:kern w:val="2"/>
          <w:sz w:val="21"/>
          <w:szCs w:val="21"/>
          <w:highlight w:val="none"/>
          <w:lang w:val="en-US" w:eastAsia="zh-CN" w:bidi="ar-SA"/>
        </w:rPr>
        <w:t>3.贵单位同意农业银行有权根据自身的业务实际运行情况及监管规定等设定和调整上述规则，并基于此确定和调整贵单位的</w:t>
      </w:r>
      <w:r>
        <w:rPr>
          <w:rFonts w:hint="eastAsia" w:ascii="黑体" w:hAnsi="黑体" w:eastAsia="黑体" w:cs="黑体"/>
          <w:b/>
          <w:bCs/>
          <w:kern w:val="2"/>
          <w:sz w:val="21"/>
          <w:szCs w:val="21"/>
          <w:highlight w:val="none"/>
          <w:lang w:val="en-US" w:eastAsia="zh-CN"/>
        </w:rPr>
        <w:t>优惠收款额度</w:t>
      </w:r>
      <w:r>
        <w:rPr>
          <w:rFonts w:hint="eastAsia" w:ascii="黑体" w:hAnsi="黑体" w:eastAsia="黑体" w:cs="黑体"/>
          <w:b/>
          <w:bCs/>
          <w:kern w:val="2"/>
          <w:sz w:val="21"/>
          <w:szCs w:val="21"/>
          <w:highlight w:val="none"/>
          <w:lang w:val="en-US" w:eastAsia="zh-CN" w:bidi="ar-SA"/>
        </w:rPr>
        <w:t>。</w:t>
      </w:r>
    </w:p>
    <w:p>
      <w:pPr>
        <w:keepNext w:val="0"/>
        <w:keepLines w:val="0"/>
        <w:pageBreakBefore w:val="0"/>
        <w:kinsoku/>
        <w:wordWrap/>
        <w:overflowPunct/>
        <w:topLinePunct w:val="0"/>
        <w:autoSpaceDE/>
        <w:autoSpaceDN/>
        <w:bidi w:val="0"/>
        <w:adjustRightInd/>
        <w:spacing w:line="360" w:lineRule="auto"/>
        <w:ind w:firstLine="422" w:firstLineChars="200"/>
        <w:textAlignment w:val="auto"/>
        <w:rPr>
          <w:rFonts w:hint="eastAsia" w:ascii="宋体" w:hAnsi="宋体" w:eastAsia="宋体" w:cs="宋体"/>
          <w:b/>
          <w:bCs/>
          <w:kern w:val="0"/>
          <w:sz w:val="21"/>
          <w:szCs w:val="21"/>
          <w:highlight w:val="none"/>
          <w:lang w:eastAsia="zh-CN"/>
        </w:rPr>
      </w:pPr>
      <w:r>
        <w:rPr>
          <w:rFonts w:hint="eastAsia" w:ascii="宋体" w:hAnsi="宋体" w:eastAsia="宋体" w:cs="宋体"/>
          <w:b/>
          <w:bCs/>
          <w:kern w:val="0"/>
          <w:sz w:val="21"/>
          <w:szCs w:val="21"/>
          <w:highlight w:val="none"/>
          <w:lang w:val="en-US" w:eastAsia="zh-CN"/>
        </w:rPr>
        <w:t xml:space="preserve">四、活动说明 </w:t>
      </w:r>
    </w:p>
    <w:p>
      <w:pPr>
        <w:keepNext w:val="0"/>
        <w:keepLines w:val="0"/>
        <w:pageBreakBefore w:val="0"/>
        <w:kinsoku/>
        <w:wordWrap/>
        <w:overflowPunct/>
        <w:topLinePunct w:val="0"/>
        <w:autoSpaceDE/>
        <w:autoSpaceDN/>
        <w:bidi w:val="0"/>
        <w:adjustRightInd/>
        <w:spacing w:line="360" w:lineRule="auto"/>
        <w:ind w:firstLine="420" w:firstLineChars="200"/>
        <w:textAlignment w:val="auto"/>
        <w:rPr>
          <w:rFonts w:hint="eastAsia" w:ascii="宋体" w:hAnsi="宋体" w:eastAsia="宋体" w:cs="宋体"/>
          <w:bCs w:val="0"/>
          <w:kern w:val="0"/>
          <w:sz w:val="21"/>
          <w:szCs w:val="21"/>
          <w:highlight w:val="none"/>
          <w:lang w:eastAsia="zh-CN"/>
        </w:rPr>
      </w:pPr>
      <w:r>
        <w:rPr>
          <w:rFonts w:hint="eastAsia" w:ascii="宋体" w:hAnsi="宋体" w:eastAsia="宋体" w:cs="宋体"/>
          <w:bCs w:val="0"/>
          <w:kern w:val="0"/>
          <w:sz w:val="21"/>
          <w:szCs w:val="21"/>
          <w:highlight w:val="none"/>
          <w:lang w:val="en-US" w:eastAsia="zh-CN"/>
        </w:rPr>
        <w:t>1.</w:t>
      </w:r>
      <w:r>
        <w:rPr>
          <w:rFonts w:hint="eastAsia" w:ascii="宋体" w:hAnsi="宋体" w:eastAsia="宋体" w:cs="宋体"/>
          <w:bCs w:val="0"/>
          <w:kern w:val="0"/>
          <w:sz w:val="21"/>
          <w:szCs w:val="21"/>
          <w:highlight w:val="none"/>
          <w:lang w:eastAsia="zh-CN"/>
        </w:rPr>
        <w:t>贵单位如在与农业银行开展各项商户合作过程中无任何实际交易发生，本告知书项下“惠存会省2.0”活动无法启用。</w:t>
      </w:r>
    </w:p>
    <w:p>
      <w:pPr>
        <w:keepNext w:val="0"/>
        <w:keepLines w:val="0"/>
        <w:pageBreakBefore w:val="0"/>
        <w:kinsoku/>
        <w:wordWrap/>
        <w:overflowPunct/>
        <w:topLinePunct w:val="0"/>
        <w:autoSpaceDE/>
        <w:autoSpaceDN/>
        <w:bidi w:val="0"/>
        <w:adjustRightInd/>
        <w:snapToGrid/>
        <w:spacing w:line="360" w:lineRule="auto"/>
        <w:ind w:left="0" w:leftChars="0" w:right="0" w:rightChars="0" w:firstLine="420" w:firstLineChars="200"/>
        <w:textAlignment w:val="auto"/>
        <w:rPr>
          <w:rFonts w:hint="eastAsia" w:ascii="宋体" w:hAnsi="宋体" w:eastAsia="宋体" w:cs="宋体"/>
          <w:b w:val="0"/>
          <w:bCs w:val="0"/>
          <w:sz w:val="21"/>
          <w:szCs w:val="21"/>
          <w:highlight w:val="none"/>
        </w:rPr>
      </w:pPr>
      <w:r>
        <w:rPr>
          <w:rFonts w:hint="eastAsia" w:ascii="宋体" w:hAnsi="宋体" w:eastAsia="宋体" w:cs="宋体"/>
          <w:bCs w:val="0"/>
          <w:kern w:val="0"/>
          <w:sz w:val="21"/>
          <w:szCs w:val="21"/>
          <w:highlight w:val="none"/>
          <w:lang w:val="en-US" w:eastAsia="zh-CN"/>
        </w:rPr>
        <w:t>2.</w:t>
      </w:r>
      <w:r>
        <w:rPr>
          <w:rFonts w:hint="eastAsia" w:ascii="宋体" w:hAnsi="宋体" w:eastAsia="宋体" w:cs="宋体"/>
          <w:bCs w:val="0"/>
          <w:kern w:val="0"/>
          <w:sz w:val="21"/>
          <w:szCs w:val="21"/>
          <w:highlight w:val="none"/>
          <w:lang w:eastAsia="zh-CN"/>
        </w:rPr>
        <w:t>农业银行将在贵单位满足商户“惠存会省2.0”活动条件时，按约定为贵单位提供相关服务，协助贵单位妥善处理服务过程中遇到的问题。</w:t>
      </w:r>
    </w:p>
    <w:p>
      <w:pPr>
        <w:keepNext w:val="0"/>
        <w:keepLines w:val="0"/>
        <w:pageBreakBefore w:val="0"/>
        <w:kinsoku/>
        <w:wordWrap/>
        <w:overflowPunct/>
        <w:topLinePunct w:val="0"/>
        <w:autoSpaceDE/>
        <w:autoSpaceDN/>
        <w:bidi w:val="0"/>
        <w:adjustRightInd/>
        <w:snapToGrid w:val="0"/>
        <w:spacing w:line="360" w:lineRule="auto"/>
        <w:ind w:right="-92" w:rightChars="-44" w:firstLine="420" w:firstLineChars="200"/>
        <w:textAlignment w:val="auto"/>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3.农业银行负责向贵单位提供业务及产品使用流程、产品功能等方面的培训，协助其解决业务开展过程中遇到的问题。</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bCs w:val="0"/>
          <w:kern w:val="0"/>
          <w:sz w:val="21"/>
          <w:szCs w:val="21"/>
          <w:highlight w:val="none"/>
          <w:lang w:val="en-US" w:eastAsia="zh-CN"/>
        </w:rPr>
      </w:pPr>
      <w:r>
        <w:rPr>
          <w:rFonts w:hint="eastAsia" w:ascii="宋体" w:hAnsi="宋体" w:eastAsia="宋体" w:cs="宋体"/>
          <w:b w:val="0"/>
          <w:bCs w:val="0"/>
          <w:sz w:val="21"/>
          <w:szCs w:val="21"/>
          <w:highlight w:val="none"/>
          <w:lang w:val="en-US" w:eastAsia="zh-CN"/>
        </w:rPr>
        <w:t>4</w:t>
      </w:r>
      <w:r>
        <w:rPr>
          <w:rFonts w:hint="eastAsia" w:ascii="宋体" w:hAnsi="宋体" w:eastAsia="宋体" w:cs="宋体"/>
          <w:sz w:val="21"/>
          <w:szCs w:val="21"/>
          <w:highlight w:val="none"/>
          <w:lang w:val="en-US" w:eastAsia="zh-CN"/>
        </w:rPr>
        <w:t>.</w:t>
      </w:r>
      <w:r>
        <w:rPr>
          <w:rFonts w:hint="eastAsia" w:ascii="宋体" w:hAnsi="宋体" w:eastAsia="宋体" w:cs="宋体"/>
          <w:bCs w:val="0"/>
          <w:kern w:val="0"/>
          <w:sz w:val="21"/>
          <w:szCs w:val="21"/>
          <w:highlight w:val="none"/>
          <w:lang w:val="en-US" w:eastAsia="zh-CN"/>
        </w:rPr>
        <w:t>基于为商户提供优惠的目的，</w:t>
      </w:r>
      <w:r>
        <w:rPr>
          <w:rFonts w:hint="eastAsia" w:ascii="宋体" w:hAnsi="宋体" w:eastAsia="宋体" w:cs="宋体"/>
          <w:bCs w:val="0"/>
          <w:kern w:val="0"/>
          <w:sz w:val="21"/>
          <w:szCs w:val="21"/>
          <w:highlight w:val="none"/>
          <w:lang w:eastAsia="zh-CN"/>
        </w:rPr>
        <w:t>“惠存会省2.0”</w:t>
      </w:r>
      <w:r>
        <w:rPr>
          <w:rFonts w:hint="eastAsia" w:ascii="宋体" w:hAnsi="宋体" w:eastAsia="宋体" w:cs="宋体"/>
          <w:bCs w:val="0"/>
          <w:kern w:val="0"/>
          <w:sz w:val="21"/>
          <w:szCs w:val="21"/>
          <w:highlight w:val="none"/>
          <w:lang w:val="en-US" w:eastAsia="zh-CN"/>
        </w:rPr>
        <w:t>活动到期后如有延期或其他变动，农业银行</w:t>
      </w:r>
      <w:r>
        <w:rPr>
          <w:rFonts w:hint="eastAsia" w:ascii="宋体" w:hAnsi="宋体" w:eastAsia="宋体" w:cs="宋体"/>
          <w:sz w:val="21"/>
          <w:szCs w:val="21"/>
          <w:highlight w:val="none"/>
          <w:lang w:eastAsia="zh-CN"/>
        </w:rPr>
        <w:t>将选择通过官网公告、短信、电话、当面送达、邮寄送达、电子邮件、</w:t>
      </w:r>
      <w:r>
        <w:rPr>
          <w:rFonts w:hint="eastAsia" w:ascii="宋体" w:hAnsi="宋体" w:eastAsia="宋体" w:cs="宋体"/>
          <w:sz w:val="21"/>
          <w:szCs w:val="21"/>
          <w:highlight w:val="none"/>
        </w:rPr>
        <w:t>“农行商户服务”微信公众号</w:t>
      </w:r>
      <w:r>
        <w:rPr>
          <w:rFonts w:hint="eastAsia" w:ascii="宋体" w:hAnsi="宋体" w:eastAsia="宋体" w:cs="宋体"/>
          <w:sz w:val="21"/>
          <w:szCs w:val="21"/>
          <w:highlight w:val="none"/>
          <w:lang w:eastAsia="zh-CN"/>
        </w:rPr>
        <w:t>等方式</w:t>
      </w:r>
      <w:r>
        <w:rPr>
          <w:rFonts w:hint="eastAsia" w:ascii="宋体" w:hAnsi="宋体" w:eastAsia="宋体" w:cs="宋体"/>
          <w:sz w:val="21"/>
          <w:szCs w:val="21"/>
          <w:highlight w:val="none"/>
          <w:lang w:val="en-US" w:eastAsia="zh-CN"/>
        </w:rPr>
        <w:t>之一</w:t>
      </w:r>
      <w:r>
        <w:rPr>
          <w:rFonts w:hint="eastAsia" w:ascii="宋体" w:hAnsi="宋体" w:eastAsia="宋体" w:cs="宋体"/>
          <w:sz w:val="21"/>
          <w:szCs w:val="21"/>
          <w:highlight w:val="none"/>
          <w:lang w:eastAsia="zh-CN"/>
        </w:rPr>
        <w:t>告知贵单位。如贵单位无需参加活动延期或类似优惠活动，可联系农业银行客户经理要求</w:t>
      </w:r>
      <w:r>
        <w:rPr>
          <w:rFonts w:hint="eastAsia" w:ascii="宋体" w:hAnsi="宋体" w:eastAsia="宋体" w:cs="宋体"/>
          <w:b w:val="0"/>
          <w:bCs w:val="0"/>
          <w:sz w:val="21"/>
          <w:szCs w:val="21"/>
          <w:highlight w:val="none"/>
          <w:lang w:val="en-US" w:eastAsia="zh-CN"/>
        </w:rPr>
        <w:t>按照</w:t>
      </w:r>
      <w:r>
        <w:rPr>
          <w:rFonts w:hint="eastAsia" w:ascii="宋体" w:hAnsi="宋体" w:eastAsia="宋体" w:cs="宋体"/>
          <w:b w:val="0"/>
          <w:bCs w:val="0"/>
          <w:sz w:val="21"/>
          <w:szCs w:val="21"/>
          <w:highlight w:val="none"/>
          <w:lang w:eastAsia="zh-CN"/>
        </w:rPr>
        <w:t>商户合作协议</w:t>
      </w:r>
      <w:r>
        <w:rPr>
          <w:rFonts w:hint="eastAsia" w:ascii="宋体" w:hAnsi="宋体" w:eastAsia="宋体" w:cs="宋体"/>
          <w:b w:val="0"/>
          <w:bCs w:val="0"/>
          <w:sz w:val="21"/>
          <w:szCs w:val="21"/>
          <w:highlight w:val="none"/>
          <w:lang w:val="en-US" w:eastAsia="zh-CN"/>
        </w:rPr>
        <w:t>或静态聚合码业务服务协议</w:t>
      </w:r>
      <w:r>
        <w:rPr>
          <w:rFonts w:hint="eastAsia" w:ascii="宋体" w:hAnsi="宋体" w:eastAsia="宋体" w:cs="宋体"/>
          <w:b w:val="0"/>
          <w:bCs w:val="0"/>
          <w:sz w:val="21"/>
          <w:szCs w:val="21"/>
          <w:highlight w:val="none"/>
          <w:lang w:eastAsia="zh-CN"/>
        </w:rPr>
        <w:t>中约定的标准费率</w:t>
      </w:r>
      <w:r>
        <w:rPr>
          <w:rFonts w:hint="eastAsia" w:ascii="宋体" w:hAnsi="宋体" w:eastAsia="宋体" w:cs="宋体"/>
          <w:b w:val="0"/>
          <w:bCs w:val="0"/>
          <w:sz w:val="21"/>
          <w:szCs w:val="21"/>
          <w:highlight w:val="none"/>
          <w:lang w:val="en-US" w:eastAsia="zh-CN"/>
        </w:rPr>
        <w:t>缴付手续费</w:t>
      </w:r>
      <w:r>
        <w:rPr>
          <w:rFonts w:hint="eastAsia" w:ascii="宋体" w:hAnsi="宋体" w:eastAsia="宋体" w:cs="宋体"/>
          <w:b w:val="0"/>
          <w:bCs w:val="0"/>
          <w:sz w:val="21"/>
          <w:szCs w:val="21"/>
          <w:highlight w:val="none"/>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Cs w:val="21"/>
          <w:highlight w:val="none"/>
          <w:lang w:eastAsia="zh-CN"/>
        </w:rPr>
      </w:pPr>
      <w:r>
        <w:rPr>
          <w:rFonts w:hint="eastAsia" w:ascii="宋体" w:hAnsi="宋体" w:eastAsia="宋体" w:cs="宋体"/>
          <w:sz w:val="21"/>
          <w:szCs w:val="21"/>
          <w:highlight w:val="none"/>
          <w:lang w:val="en-US" w:eastAsia="zh-CN"/>
        </w:rPr>
        <w:t>5.双方合作存续期内，</w:t>
      </w:r>
      <w:r>
        <w:rPr>
          <w:rFonts w:hint="eastAsia" w:ascii="黑体" w:hAnsi="黑体" w:eastAsia="黑体" w:cs="黑体"/>
          <w:b/>
          <w:bCs/>
          <w:sz w:val="21"/>
          <w:szCs w:val="21"/>
          <w:highlight w:val="none"/>
          <w:lang w:eastAsia="zh-CN"/>
        </w:rPr>
        <w:t>如遇贵单位提供给农业银行用于双方开展合作所需的单位信息、个人信息、信用信息、关联关系方信息等商户申请时提供的信息、手续</w:t>
      </w:r>
      <w:r>
        <w:rPr>
          <w:rFonts w:hint="eastAsia" w:ascii="黑体" w:hAnsi="黑体" w:eastAsia="黑体" w:cs="黑体"/>
          <w:b/>
          <w:bCs/>
          <w:sz w:val="21"/>
          <w:szCs w:val="21"/>
          <w:highlight w:val="none"/>
        </w:rPr>
        <w:t>费率、产品服务、</w:t>
      </w:r>
      <w:r>
        <w:rPr>
          <w:rFonts w:hint="eastAsia" w:ascii="黑体" w:hAnsi="黑体" w:eastAsia="黑体" w:cs="黑体"/>
          <w:b/>
          <w:bCs/>
          <w:sz w:val="21"/>
          <w:szCs w:val="21"/>
          <w:highlight w:val="none"/>
          <w:lang w:eastAsia="zh-CN"/>
        </w:rPr>
        <w:t>交易类型、结算周期等发生变更且未按协议约定通知我行，或贵单位</w:t>
      </w:r>
      <w:r>
        <w:rPr>
          <w:rFonts w:hint="eastAsia" w:ascii="黑体" w:hAnsi="黑体" w:eastAsia="黑体" w:cs="黑体"/>
          <w:b/>
          <w:bCs/>
          <w:szCs w:val="21"/>
          <w:highlight w:val="none"/>
        </w:rPr>
        <w:t>自身从事或协助他人从事恐怖融资、洗钱、电信诈骗、</w:t>
      </w:r>
      <w:r>
        <w:rPr>
          <w:rFonts w:hint="eastAsia" w:ascii="黑体" w:hAnsi="黑体" w:eastAsia="黑体" w:cs="黑体"/>
          <w:b/>
          <w:bCs/>
          <w:szCs w:val="21"/>
          <w:highlight w:val="none"/>
          <w:lang w:eastAsia="zh-CN"/>
        </w:rPr>
        <w:t>跨境赌博、</w:t>
      </w:r>
      <w:r>
        <w:rPr>
          <w:rFonts w:hint="eastAsia" w:ascii="黑体" w:hAnsi="黑体" w:eastAsia="黑体" w:cs="黑体"/>
          <w:b/>
          <w:bCs/>
          <w:szCs w:val="21"/>
          <w:highlight w:val="none"/>
        </w:rPr>
        <w:t>非法集资、套现等</w:t>
      </w:r>
      <w:r>
        <w:rPr>
          <w:rFonts w:hint="eastAsia" w:ascii="黑体" w:hAnsi="黑体" w:eastAsia="黑体" w:cs="黑体"/>
          <w:b/>
          <w:bCs/>
          <w:szCs w:val="21"/>
          <w:highlight w:val="none"/>
          <w:lang w:eastAsia="zh-CN"/>
        </w:rPr>
        <w:t>违法</w:t>
      </w:r>
      <w:r>
        <w:rPr>
          <w:rFonts w:hint="eastAsia" w:ascii="黑体" w:hAnsi="黑体" w:eastAsia="黑体" w:cs="黑体"/>
          <w:b/>
          <w:bCs/>
          <w:szCs w:val="21"/>
          <w:highlight w:val="none"/>
        </w:rPr>
        <w:t>违规行为或从事其他</w:t>
      </w:r>
      <w:r>
        <w:rPr>
          <w:rFonts w:hint="eastAsia" w:ascii="黑体" w:hAnsi="黑体" w:eastAsia="黑体" w:cs="黑体"/>
          <w:b/>
          <w:bCs/>
          <w:szCs w:val="21"/>
          <w:highlight w:val="none"/>
          <w:lang w:eastAsia="zh-CN"/>
        </w:rPr>
        <w:t>农业银行</w:t>
      </w:r>
      <w:r>
        <w:rPr>
          <w:rFonts w:hint="eastAsia" w:ascii="黑体" w:hAnsi="黑体" w:eastAsia="黑体" w:cs="黑体"/>
          <w:b/>
          <w:bCs/>
          <w:szCs w:val="21"/>
          <w:highlight w:val="none"/>
        </w:rPr>
        <w:t>禁止的风险交易行为</w:t>
      </w:r>
      <w:r>
        <w:rPr>
          <w:rFonts w:hint="eastAsia" w:ascii="黑体" w:hAnsi="黑体" w:eastAsia="黑体" w:cs="黑体"/>
          <w:b/>
          <w:bCs/>
          <w:szCs w:val="21"/>
          <w:highlight w:val="none"/>
          <w:lang w:val="en-US" w:eastAsia="zh-CN"/>
        </w:rPr>
        <w:t>等</w:t>
      </w:r>
      <w:r>
        <w:rPr>
          <w:rFonts w:hint="eastAsia" w:ascii="黑体" w:hAnsi="黑体" w:eastAsia="黑体" w:cs="黑体"/>
          <w:b/>
          <w:bCs/>
          <w:sz w:val="21"/>
          <w:szCs w:val="21"/>
          <w:highlight w:val="none"/>
          <w:lang w:eastAsia="zh-CN"/>
        </w:rPr>
        <w:t>情形</w:t>
      </w:r>
      <w:r>
        <w:rPr>
          <w:rFonts w:hint="eastAsia" w:ascii="黑体" w:hAnsi="黑体" w:eastAsia="黑体" w:cs="黑体"/>
          <w:b/>
          <w:bCs/>
          <w:sz w:val="21"/>
          <w:szCs w:val="21"/>
          <w:highlight w:val="none"/>
        </w:rPr>
        <w:t>，</w:t>
      </w:r>
      <w:r>
        <w:rPr>
          <w:rFonts w:hint="eastAsia" w:ascii="宋体" w:hAnsi="宋体" w:eastAsia="宋体" w:cs="宋体"/>
          <w:sz w:val="21"/>
          <w:szCs w:val="21"/>
          <w:highlight w:val="none"/>
          <w:lang w:val="en-US" w:eastAsia="zh-CN"/>
        </w:rPr>
        <w:t>中国农业银行在法律法规允许范围内有权对贵单位是否继续享有活动资格进行重新评估，并对本优惠活动进行调整或提前终止</w:t>
      </w:r>
      <w:r>
        <w:rPr>
          <w:rFonts w:hint="eastAsia" w:ascii="宋体" w:hAnsi="宋体" w:eastAsia="宋体" w:cs="宋体"/>
          <w:sz w:val="21"/>
          <w:szCs w:val="21"/>
          <w:highlight w:val="none"/>
          <w:lang w:eastAsia="zh-CN"/>
        </w:rPr>
        <w:t>。有关调整或终止事项将选择通过当面送达、邮寄送达、电话、短信、电子邮件、</w:t>
      </w:r>
      <w:r>
        <w:rPr>
          <w:rFonts w:hint="eastAsia" w:ascii="宋体" w:hAnsi="宋体" w:eastAsia="宋体" w:cs="宋体"/>
          <w:sz w:val="21"/>
          <w:szCs w:val="21"/>
          <w:highlight w:val="none"/>
        </w:rPr>
        <w:t>“农行商户服务”微信公众号</w:t>
      </w:r>
      <w:r>
        <w:rPr>
          <w:rFonts w:hint="eastAsia" w:ascii="宋体" w:hAnsi="宋体" w:eastAsia="宋体" w:cs="宋体"/>
          <w:sz w:val="21"/>
          <w:szCs w:val="21"/>
          <w:highlight w:val="none"/>
          <w:lang w:eastAsia="zh-CN"/>
        </w:rPr>
        <w:t>消息推送等方式</w:t>
      </w:r>
      <w:r>
        <w:rPr>
          <w:rFonts w:hint="eastAsia" w:ascii="宋体" w:hAnsi="宋体" w:eastAsia="宋体" w:cs="宋体"/>
          <w:sz w:val="21"/>
          <w:szCs w:val="21"/>
          <w:highlight w:val="none"/>
          <w:lang w:val="en-US" w:eastAsia="zh-CN"/>
        </w:rPr>
        <w:t>之一</w:t>
      </w:r>
      <w:r>
        <w:rPr>
          <w:rFonts w:hint="eastAsia" w:ascii="宋体" w:hAnsi="宋体" w:eastAsia="宋体" w:cs="宋体"/>
          <w:sz w:val="21"/>
          <w:szCs w:val="21"/>
          <w:lang w:eastAsia="zh-CN"/>
        </w:rPr>
        <w:t>进行告知</w:t>
      </w:r>
      <w:r>
        <w:rPr>
          <w:rFonts w:hint="eastAsia" w:ascii="宋体" w:hAnsi="宋体" w:eastAsia="宋体" w:cs="宋体"/>
          <w:color w:val="auto"/>
          <w:szCs w:val="21"/>
          <w:highlight w:val="none"/>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五、联系方式。</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lang w:eastAsia="zh-CN"/>
        </w:rPr>
      </w:pPr>
      <w:r>
        <w:rPr>
          <w:rFonts w:hint="eastAsia" w:ascii="宋体" w:hAnsi="宋体" w:eastAsia="宋体" w:cs="宋体"/>
          <w:sz w:val="21"/>
          <w:szCs w:val="21"/>
          <w:lang w:eastAsia="zh-CN"/>
        </w:rPr>
        <w:t>如有疑问，</w:t>
      </w:r>
      <w:r>
        <w:rPr>
          <w:rFonts w:hint="eastAsia" w:ascii="宋体" w:hAnsi="宋体" w:eastAsia="宋体" w:cs="宋体"/>
          <w:sz w:val="21"/>
          <w:szCs w:val="21"/>
          <w:lang w:val="en-US" w:eastAsia="zh-CN"/>
        </w:rPr>
        <w:t>请联系我行客户经理或拨打我行</w:t>
      </w:r>
      <w:r>
        <w:rPr>
          <w:rFonts w:hint="eastAsia" w:ascii="宋体" w:hAnsi="宋体" w:eastAsia="宋体" w:cs="宋体"/>
          <w:sz w:val="21"/>
          <w:szCs w:val="21"/>
        </w:rPr>
        <w:t>商户服务客服热线4006495599</w:t>
      </w:r>
      <w:r>
        <w:rPr>
          <w:rFonts w:hint="eastAsia" w:ascii="宋体" w:hAnsi="宋体" w:eastAsia="宋体" w:cs="宋体"/>
          <w:sz w:val="21"/>
          <w:szCs w:val="21"/>
          <w:lang w:eastAsia="zh-CN"/>
        </w:rPr>
        <w:t>进行咨询</w:t>
      </w:r>
      <w:r>
        <w:rPr>
          <w:rFonts w:hint="eastAsia" w:ascii="宋体" w:hAnsi="宋体" w:eastAsia="宋体" w:cs="宋体"/>
          <w:sz w:val="21"/>
          <w:szCs w:val="21"/>
          <w:lang w:val="en-US" w:eastAsia="zh-CN"/>
        </w:rPr>
        <w:t>。</w:t>
      </w:r>
    </w:p>
    <w:p>
      <w:pPr>
        <w:keepNext w:val="0"/>
        <w:keepLines w:val="0"/>
        <w:pageBreakBefore w:val="0"/>
        <w:kinsoku/>
        <w:wordWrap/>
        <w:overflowPunct/>
        <w:topLinePunct w:val="0"/>
        <w:autoSpaceDE/>
        <w:autoSpaceDN/>
        <w:bidi w:val="0"/>
        <w:adjustRightInd/>
        <w:spacing w:line="360" w:lineRule="auto"/>
        <w:ind w:firstLine="422" w:firstLineChars="200"/>
        <w:textAlignment w:val="auto"/>
        <w:rPr>
          <w:rFonts w:ascii="黑体" w:hAnsi="宋体" w:eastAsia="黑体" w:cs="黑体"/>
          <w:b/>
          <w:bCs/>
          <w:i w:val="0"/>
          <w:iCs w:val="0"/>
          <w:caps w:val="0"/>
          <w:color w:val="000000"/>
          <w:spacing w:val="0"/>
          <w:sz w:val="21"/>
          <w:szCs w:val="21"/>
        </w:rPr>
      </w:pPr>
    </w:p>
    <w:p>
      <w:pPr>
        <w:keepNext w:val="0"/>
        <w:keepLines w:val="0"/>
        <w:pageBreakBefore w:val="0"/>
        <w:kinsoku/>
        <w:wordWrap/>
        <w:overflowPunct/>
        <w:topLinePunct w:val="0"/>
        <w:autoSpaceDE/>
        <w:autoSpaceDN/>
        <w:bidi w:val="0"/>
        <w:adjustRightInd/>
        <w:spacing w:line="360" w:lineRule="auto"/>
        <w:ind w:firstLine="422" w:firstLineChars="200"/>
        <w:textAlignment w:val="auto"/>
        <w:rPr>
          <w:rFonts w:hint="eastAsia" w:ascii="宋体" w:hAnsi="宋体" w:eastAsia="宋体" w:cs="宋体"/>
          <w:sz w:val="21"/>
          <w:szCs w:val="21"/>
        </w:rPr>
      </w:pPr>
      <w:r>
        <w:rPr>
          <w:rFonts w:ascii="黑体" w:hAnsi="宋体" w:eastAsia="黑体" w:cs="黑体"/>
          <w:b/>
          <w:bCs/>
          <w:i w:val="0"/>
          <w:iCs w:val="0"/>
          <w:caps w:val="0"/>
          <w:color w:val="000000"/>
          <w:spacing w:val="0"/>
          <w:sz w:val="21"/>
          <w:szCs w:val="21"/>
        </w:rPr>
        <w:t>本人已阅读、知悉并同意上述条款。</w:t>
      </w:r>
    </w:p>
    <w:p>
      <w:pPr>
        <w:keepNext w:val="0"/>
        <w:keepLines w:val="0"/>
        <w:pageBreakBefore w:val="0"/>
        <w:kinsoku/>
        <w:wordWrap/>
        <w:overflowPunct/>
        <w:topLinePunct w:val="0"/>
        <w:autoSpaceDE/>
        <w:autoSpaceDN/>
        <w:bidi w:val="0"/>
        <w:adjustRightInd/>
        <w:spacing w:line="360" w:lineRule="auto"/>
        <w:ind w:firstLine="420" w:firstLineChars="200"/>
        <w:textAlignment w:val="auto"/>
        <w:rPr>
          <w:rFonts w:hint="eastAsia" w:ascii="宋体" w:hAnsi="宋体" w:eastAsia="宋体" w:cs="宋体"/>
          <w:sz w:val="21"/>
          <w:szCs w:val="21"/>
        </w:rPr>
      </w:pP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签名：</w:t>
      </w: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sz w:val="21"/>
          <w:szCs w:val="21"/>
          <w:lang w:val="en-US" w:eastAsia="zh-CN"/>
        </w:rPr>
      </w:pPr>
    </w:p>
    <w:p>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日期：</w:t>
      </w:r>
    </w:p>
    <w:p>
      <w:pPr>
        <w:keepNext w:val="0"/>
        <w:keepLines w:val="0"/>
        <w:pageBreakBefore w:val="0"/>
        <w:kinsoku/>
        <w:wordWrap/>
        <w:overflowPunct/>
        <w:topLinePunct w:val="0"/>
        <w:autoSpaceDE/>
        <w:autoSpaceDN/>
        <w:bidi w:val="0"/>
        <w:adjustRightInd/>
        <w:spacing w:line="360" w:lineRule="auto"/>
        <w:ind w:firstLine="420" w:firstLineChars="200"/>
        <w:textAlignment w:val="auto"/>
      </w:pPr>
    </w:p>
    <w:sectPr>
      <w:headerReference r:id="rId3" w:type="default"/>
      <w:footerReference r:id="rId4" w:type="default"/>
      <w:pgSz w:w="11906" w:h="16838"/>
      <w:pgMar w:top="454" w:right="1134" w:bottom="454" w:left="1134"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jc w:val="center"/>
      <w:rPr>
        <w:rFonts w:hint="eastAsia"/>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both"/>
      <w:rPr>
        <w:rFonts w:hint="eastAsia"/>
      </w:rPr>
    </w:pPr>
    <w:r>
      <w:rPr>
        <w:rFonts w:hint="eastAsia"/>
      </w:rPr>
      <w:drawing>
        <wp:inline distT="0" distB="0" distL="114300" distR="114300">
          <wp:extent cx="1482090" cy="354330"/>
          <wp:effectExtent l="0" t="0" r="381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1"/>
                  <a:stretch>
                    <a:fillRect/>
                  </a:stretch>
                </pic:blipFill>
                <pic:spPr>
                  <a:xfrm>
                    <a:off x="0" y="0"/>
                    <a:ext cx="1482090" cy="354330"/>
                  </a:xfrm>
                  <a:prstGeom prst="rect">
                    <a:avLst/>
                  </a:prstGeom>
                  <a:noFill/>
                  <a:ln>
                    <a:noFill/>
                  </a:ln>
                </pic:spPr>
              </pic:pic>
            </a:graphicData>
          </a:graphic>
        </wp:inline>
      </w:drawing>
    </w:r>
    <w:r>
      <w:rPr>
        <w:rFonts w:hint="eastAsia"/>
      </w:rPr>
      <w:t xml:space="preserve">                                             </w:t>
    </w:r>
    <w:r>
      <w:rPr>
        <w:rFonts w:hint="eastAsia" w:ascii="宋体" w:hAnsi="宋体"/>
        <w:b/>
        <w:bCs/>
      </w:rPr>
      <w:t>全国商户服务中心热线：400-64-95599</w:t>
    </w:r>
    <w:r>
      <w:rPr>
        <w:rFonts w:hint="eastAsia"/>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420"/>
  <w:hyphenationZone w:val="36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59B66FF"/>
    <w:rsid w:val="00E2751F"/>
    <w:rsid w:val="00FD55E0"/>
    <w:rsid w:val="019C1BD1"/>
    <w:rsid w:val="02CC3186"/>
    <w:rsid w:val="03B213FA"/>
    <w:rsid w:val="04900F46"/>
    <w:rsid w:val="0853757F"/>
    <w:rsid w:val="08B61D36"/>
    <w:rsid w:val="08C62D90"/>
    <w:rsid w:val="0AB93FD2"/>
    <w:rsid w:val="0CDB6DB5"/>
    <w:rsid w:val="0D9F5B45"/>
    <w:rsid w:val="0DCE333A"/>
    <w:rsid w:val="0E3F233E"/>
    <w:rsid w:val="0EBB6CEB"/>
    <w:rsid w:val="0F6374A5"/>
    <w:rsid w:val="124A57A9"/>
    <w:rsid w:val="13E852B6"/>
    <w:rsid w:val="14711672"/>
    <w:rsid w:val="14756BA0"/>
    <w:rsid w:val="147C118B"/>
    <w:rsid w:val="149C62AC"/>
    <w:rsid w:val="14FF7834"/>
    <w:rsid w:val="15000F99"/>
    <w:rsid w:val="157A4464"/>
    <w:rsid w:val="15850719"/>
    <w:rsid w:val="15881197"/>
    <w:rsid w:val="15892239"/>
    <w:rsid w:val="17024626"/>
    <w:rsid w:val="1907604A"/>
    <w:rsid w:val="194C0CE5"/>
    <w:rsid w:val="1E051EDD"/>
    <w:rsid w:val="1EA54768"/>
    <w:rsid w:val="1F175897"/>
    <w:rsid w:val="21D871D6"/>
    <w:rsid w:val="22957ECD"/>
    <w:rsid w:val="26D02136"/>
    <w:rsid w:val="26D61E94"/>
    <w:rsid w:val="27052A3B"/>
    <w:rsid w:val="271D5516"/>
    <w:rsid w:val="27DE0D9F"/>
    <w:rsid w:val="280A7F01"/>
    <w:rsid w:val="29AA5572"/>
    <w:rsid w:val="29CD0A20"/>
    <w:rsid w:val="2BEA00BE"/>
    <w:rsid w:val="2C0D0889"/>
    <w:rsid w:val="2D2C51EA"/>
    <w:rsid w:val="2DCB1CB7"/>
    <w:rsid w:val="2DEC49D8"/>
    <w:rsid w:val="2DFA43DE"/>
    <w:rsid w:val="2E287CE0"/>
    <w:rsid w:val="30630153"/>
    <w:rsid w:val="315D5330"/>
    <w:rsid w:val="33CE25A9"/>
    <w:rsid w:val="3632136C"/>
    <w:rsid w:val="36336C0F"/>
    <w:rsid w:val="37781E01"/>
    <w:rsid w:val="3B272251"/>
    <w:rsid w:val="3C6B22E0"/>
    <w:rsid w:val="3CEA67FE"/>
    <w:rsid w:val="3DFA1EBA"/>
    <w:rsid w:val="3F4370AE"/>
    <w:rsid w:val="40287B06"/>
    <w:rsid w:val="40670C19"/>
    <w:rsid w:val="41C96FF3"/>
    <w:rsid w:val="41D034F6"/>
    <w:rsid w:val="45F8336E"/>
    <w:rsid w:val="461C337B"/>
    <w:rsid w:val="46454B64"/>
    <w:rsid w:val="46C52137"/>
    <w:rsid w:val="470C0CE2"/>
    <w:rsid w:val="48AC17BA"/>
    <w:rsid w:val="494D12D0"/>
    <w:rsid w:val="49E47A2C"/>
    <w:rsid w:val="4A2A05AD"/>
    <w:rsid w:val="4AEA4AB1"/>
    <w:rsid w:val="4F0B161A"/>
    <w:rsid w:val="4F3D0874"/>
    <w:rsid w:val="4F6341D1"/>
    <w:rsid w:val="4FA17B5B"/>
    <w:rsid w:val="501B6542"/>
    <w:rsid w:val="50212328"/>
    <w:rsid w:val="516A16E3"/>
    <w:rsid w:val="529E5DA7"/>
    <w:rsid w:val="52EC68FD"/>
    <w:rsid w:val="539C7129"/>
    <w:rsid w:val="559B66FF"/>
    <w:rsid w:val="5610392B"/>
    <w:rsid w:val="57150F8F"/>
    <w:rsid w:val="58140590"/>
    <w:rsid w:val="58B06E83"/>
    <w:rsid w:val="59E6628D"/>
    <w:rsid w:val="5A1329D3"/>
    <w:rsid w:val="5A382D3B"/>
    <w:rsid w:val="5AE7316E"/>
    <w:rsid w:val="5B4C5C84"/>
    <w:rsid w:val="5D804768"/>
    <w:rsid w:val="5EAE2FFB"/>
    <w:rsid w:val="5ECF7132"/>
    <w:rsid w:val="5F3D5685"/>
    <w:rsid w:val="604B31C3"/>
    <w:rsid w:val="60611FDB"/>
    <w:rsid w:val="608556CD"/>
    <w:rsid w:val="60DF3EFC"/>
    <w:rsid w:val="60EA3922"/>
    <w:rsid w:val="61B97716"/>
    <w:rsid w:val="638E4C4B"/>
    <w:rsid w:val="67F4757D"/>
    <w:rsid w:val="699C17B6"/>
    <w:rsid w:val="6A81413E"/>
    <w:rsid w:val="6B044D6A"/>
    <w:rsid w:val="6C324C57"/>
    <w:rsid w:val="6CE55C74"/>
    <w:rsid w:val="6D8D74DA"/>
    <w:rsid w:val="70202CA9"/>
    <w:rsid w:val="71B1461F"/>
    <w:rsid w:val="71C82D30"/>
    <w:rsid w:val="72D41ABA"/>
    <w:rsid w:val="74633D9D"/>
    <w:rsid w:val="77D337CF"/>
    <w:rsid w:val="77DE7DAA"/>
    <w:rsid w:val="78252333"/>
    <w:rsid w:val="7C051385"/>
    <w:rsid w:val="7D5C3C30"/>
    <w:rsid w:val="7E0B6594"/>
    <w:rsid w:val="7E6D2100"/>
    <w:rsid w:val="7E844A0D"/>
    <w:rsid w:val="7F4C7783"/>
    <w:rsid w:val="7F614D00"/>
    <w:rsid w:val="7FFBB23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nhideWhenUsed="0" w:uiPriority="0" w:semiHidden="0" w:name="annotation text"/>
    <w:lsdException w:uiPriority="0" w:semiHidden="0" w:name="header"/>
    <w:lsdException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0"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kern w:val="2"/>
      <w:sz w:val="21"/>
      <w:szCs w:val="24"/>
      <w:lang w:val="en-US" w:eastAsia="zh-CN" w:bidi="ar-SA"/>
    </w:rPr>
  </w:style>
  <w:style w:type="character" w:default="1" w:styleId="6">
    <w:name w:val="Default Paragraph Font"/>
    <w:link w:val="7"/>
    <w:unhideWhenUsed/>
    <w:uiPriority w:val="0"/>
  </w:style>
  <w:style w:type="table" w:default="1" w:styleId="5">
    <w:name w:val="Normal Table"/>
    <w:unhideWhenUsed/>
    <w:uiPriority w:val="99"/>
    <w:tblPr>
      <w:tblStyle w:val="5"/>
      <w:tblCellMar>
        <w:top w:w="0" w:type="dxa"/>
        <w:left w:w="108" w:type="dxa"/>
        <w:bottom w:w="0" w:type="dxa"/>
        <w:right w:w="108" w:type="dxa"/>
      </w:tblCellMar>
    </w:tblPr>
  </w:style>
  <w:style w:type="paragraph" w:styleId="2">
    <w:name w:val="annotation text"/>
    <w:basedOn w:val="1"/>
    <w:uiPriority w:val="0"/>
  </w:style>
  <w:style w:type="paragraph" w:styleId="3">
    <w:name w:val="footer"/>
    <w:basedOn w:val="1"/>
    <w:unhideWhenUsed/>
    <w:uiPriority w:val="0"/>
    <w:pPr>
      <w:tabs>
        <w:tab w:val="center" w:pos="4153"/>
        <w:tab w:val="right" w:pos="8306"/>
      </w:tabs>
      <w:snapToGrid w:val="0"/>
      <w:jc w:val="left"/>
    </w:pPr>
    <w:rPr>
      <w:sz w:val="18"/>
      <w:szCs w:val="18"/>
    </w:rPr>
  </w:style>
  <w:style w:type="paragraph" w:styleId="4">
    <w:name w:val="header"/>
    <w:basedOn w:val="1"/>
    <w:unhideWhenUsed/>
    <w:uiPriority w:val="0"/>
    <w:pPr>
      <w:pBdr>
        <w:bottom w:val="single" w:color="auto" w:sz="6" w:space="1"/>
      </w:pBdr>
      <w:tabs>
        <w:tab w:val="center" w:pos="4153"/>
        <w:tab w:val="right" w:pos="8306"/>
      </w:tabs>
      <w:snapToGrid w:val="0"/>
      <w:jc w:val="center"/>
    </w:pPr>
    <w:rPr>
      <w:sz w:val="18"/>
      <w:szCs w:val="18"/>
    </w:rPr>
  </w:style>
  <w:style w:type="paragraph" w:customStyle="1" w:styleId="7">
    <w:name w:val=" Char"/>
    <w:basedOn w:val="1"/>
    <w:link w:val="6"/>
    <w:uiPriority w:val="0"/>
    <w:pPr>
      <w:adjustRightInd w:val="0"/>
      <w:spacing w:line="360" w:lineRule="atLeast"/>
      <w:ind w:firstLine="0" w:firstLineChars="0"/>
      <w:textAlignment w:val="baseline"/>
    </w:pPr>
  </w:style>
  <w:style w:type="character" w:styleId="8">
    <w:name w:val="annotation reference"/>
    <w:uiPriority w:val="0"/>
    <w:rPr>
      <w:sz w:val="21"/>
      <w:szCs w:val="21"/>
    </w:rPr>
  </w:style>
  <w:style w:type="character" w:customStyle="1" w:styleId="9">
    <w:name w:val="font11"/>
    <w:basedOn w:val="6"/>
    <w:uiPriority w:val="0"/>
    <w:rPr>
      <w:rFonts w:hint="eastAsia" w:ascii="宋体" w:hAnsi="宋体" w:eastAsia="宋体" w:cs="宋体"/>
      <w:color w:val="000000"/>
      <w:sz w:val="20"/>
      <w:szCs w:val="20"/>
      <w:u w:val="single"/>
    </w:rPr>
  </w:style>
  <w:style w:type="character" w:customStyle="1" w:styleId="10">
    <w:name w:val="font31"/>
    <w:basedOn w:val="6"/>
    <w:uiPriority w:val="0"/>
    <w:rPr>
      <w:rFonts w:hint="eastAsia" w:ascii="宋体" w:hAnsi="宋体" w:eastAsia="宋体" w:cs="宋体"/>
      <w:color w:val="000000"/>
      <w:sz w:val="20"/>
      <w:szCs w:val="20"/>
      <w:u w:val="none"/>
    </w:rPr>
  </w:style>
  <w:style w:type="paragraph" w:customStyle="1" w:styleId="11">
    <w:name w:val="Default"/>
    <w:uiPriority w:val="0"/>
    <w:pPr>
      <w:widowControl w:val="0"/>
      <w:autoSpaceDE w:val="0"/>
      <w:autoSpaceDN w:val="0"/>
      <w:adjustRightInd w:val="0"/>
    </w:pPr>
    <w:rPr>
      <w:rFonts w:ascii="宋体" w:cs="宋体"/>
      <w:color w:val="000000"/>
      <w:sz w:val="24"/>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Normal.wpt</Template>
  <Pages>3</Pages>
  <Words>2568</Words>
  <Characters>2702</Characters>
  <Lines>1</Lines>
  <Paragraphs>1</Paragraphs>
  <TotalTime>0</TotalTime>
  <ScaleCrop>false</ScaleCrop>
  <LinksUpToDate>false</LinksUpToDate>
  <CharactersWithSpaces>2707</CharactersWithSpaces>
  <Application>WPS Office_11.8.2.12309_F1E327BC-269C-435d-A152-05C5408002CA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2018-08-15T02:15:00Z</dcterms:created>
  <dc:creator>韩阳/商户发展部/信用卡中心/总行机关/ABC</dc:creator>
  <cp:lastModifiedBy>韩舒展</cp:lastModifiedBy>
  <cp:lastPrinted>2023-08-24T17:41:37Z</cp:lastPrinted>
  <dcterms:modified xsi:type="dcterms:W3CDTF">2026-03-30T03:32:33Z</dcterms:modified>
  <dc:title>特约商户“市场通”业务合作协议</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2052-11.8.2.12309</vt:lpwstr>
  </property>
  <property fmtid="{D5CDD505-2E9C-101B-9397-08002B2CF9AE}" pid="3" name="ICV">
    <vt:lpwstr>A1C181C69BDF477EBB2EF18920F56D47</vt:lpwstr>
  </property>
</Properties>
</file>