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right="-8" w:rightChars="-4"/>
        <w:jc w:val="center"/>
        <w:rPr>
          <w:color w:val="auto"/>
          <w:sz w:val="24"/>
        </w:rPr>
      </w:pPr>
      <w:bookmarkStart w:id="7" w:name="_GoBack"/>
      <w:bookmarkStart w:id="0" w:name="_Toc29524"/>
      <w:bookmarkStart w:id="1" w:name="_Toc11764"/>
      <w:bookmarkStart w:id="2" w:name="_Toc17509"/>
      <w:bookmarkStart w:id="3" w:name="_Toc97561916"/>
      <w:r>
        <w:rPr>
          <w:rFonts w:eastAsia="黑体"/>
          <w:bCs/>
          <w:color w:val="auto"/>
          <w:sz w:val="36"/>
          <w:szCs w:val="36"/>
        </w:rPr>
        <w:t>中国农业银行股份有限公司唐山分行车辆定点维修保养服务项目</w:t>
      </w:r>
      <w:r>
        <w:rPr>
          <w:rFonts w:hint="eastAsia" w:eastAsia="黑体"/>
          <w:color w:val="auto"/>
          <w:sz w:val="36"/>
          <w:szCs w:val="36"/>
        </w:rPr>
        <w:t>招标公告</w:t>
      </w:r>
      <w:bookmarkEnd w:id="0"/>
    </w:p>
    <w:bookmarkEnd w:id="7"/>
    <w:p>
      <w:pPr>
        <w:spacing w:line="360" w:lineRule="auto"/>
        <w:ind w:left="-2" w:leftChars="-1" w:firstLine="420" w:firstLineChars="200"/>
        <w:rPr>
          <w:rFonts w:hint="eastAsia" w:ascii="宋体" w:hAnsi="宋体" w:cs="宋体"/>
          <w:b/>
          <w:szCs w:val="21"/>
        </w:rPr>
      </w:pPr>
      <w:r>
        <w:rPr>
          <w:rFonts w:hint="eastAsia" w:ascii="宋体" w:hAnsi="宋体" w:cs="宋体"/>
          <w:szCs w:val="21"/>
        </w:rPr>
        <w:t>中国农业银行股份有限公司唐山分行现就中国农业银行股份有限公司唐山分行车辆定点维修保养服务项目进行招标采购。</w:t>
      </w:r>
    </w:p>
    <w:p>
      <w:pPr>
        <w:spacing w:line="360" w:lineRule="auto"/>
        <w:ind w:firstLine="422" w:firstLineChars="200"/>
        <w:rPr>
          <w:rFonts w:hint="eastAsia" w:ascii="宋体" w:hAnsi="宋体" w:cs="宋体"/>
          <w:b/>
          <w:bCs/>
          <w:szCs w:val="21"/>
        </w:rPr>
      </w:pPr>
      <w:r>
        <w:rPr>
          <w:rFonts w:hint="eastAsia" w:ascii="宋体" w:hAnsi="宋体" w:cs="宋体"/>
          <w:b/>
          <w:bCs/>
          <w:szCs w:val="21"/>
        </w:rPr>
        <w:t>一、项目名称及招标编号：</w:t>
      </w:r>
    </w:p>
    <w:p>
      <w:pPr>
        <w:spacing w:line="360" w:lineRule="auto"/>
        <w:ind w:firstLine="420" w:firstLineChars="200"/>
        <w:rPr>
          <w:rFonts w:hint="eastAsia" w:ascii="宋体" w:hAnsi="宋体" w:cs="宋体"/>
          <w:szCs w:val="21"/>
        </w:rPr>
      </w:pPr>
      <w:r>
        <w:rPr>
          <w:rFonts w:hint="eastAsia" w:ascii="宋体" w:hAnsi="宋体" w:cs="宋体"/>
          <w:szCs w:val="21"/>
        </w:rPr>
        <w:t>中国农业银行股份有限公司唐山分行车辆定点维修保养服务项目（招标编号：</w:t>
      </w:r>
      <w:r>
        <w:rPr>
          <w:rFonts w:ascii="宋体" w:hAnsi="宋体" w:cs="宋体"/>
          <w:szCs w:val="21"/>
        </w:rPr>
        <w:t>A50H700M26085001/01</w:t>
      </w:r>
      <w:r>
        <w:rPr>
          <w:rFonts w:hint="eastAsia" w:ascii="宋体" w:hAnsi="宋体" w:cs="宋体"/>
          <w:szCs w:val="21"/>
        </w:rPr>
        <w:t>）</w:t>
      </w:r>
    </w:p>
    <w:p>
      <w:pPr>
        <w:spacing w:line="360" w:lineRule="auto"/>
        <w:ind w:firstLine="422" w:firstLineChars="200"/>
        <w:rPr>
          <w:rFonts w:hint="eastAsia" w:ascii="宋体" w:hAnsi="宋体" w:cs="宋体"/>
          <w:b/>
          <w:bCs/>
          <w:szCs w:val="21"/>
        </w:rPr>
      </w:pPr>
      <w:r>
        <w:rPr>
          <w:rFonts w:hint="eastAsia" w:ascii="宋体" w:hAnsi="宋体" w:cs="宋体"/>
          <w:b/>
          <w:bCs/>
          <w:szCs w:val="21"/>
        </w:rPr>
        <w:t>二、项目简介</w:t>
      </w:r>
    </w:p>
    <w:p>
      <w:pPr>
        <w:spacing w:line="360" w:lineRule="auto"/>
        <w:ind w:firstLine="420" w:firstLineChars="200"/>
        <w:rPr>
          <w:rFonts w:ascii="宋体" w:hAnsi="宋体"/>
        </w:rPr>
      </w:pPr>
      <w:r>
        <w:rPr>
          <w:rFonts w:hint="eastAsia" w:ascii="宋体" w:hAnsi="宋体" w:cs="宋体"/>
          <w:szCs w:val="21"/>
        </w:rPr>
        <w:t>1、采购内容：</w:t>
      </w:r>
      <w:r>
        <w:rPr>
          <w:rFonts w:hint="eastAsia" w:ascii="宋体" w:hAnsi="宋体"/>
        </w:rPr>
        <w:t>中国农业银行股份有限公司唐山分行车辆定点维修保养服务项目，</w:t>
      </w:r>
      <w:r>
        <w:rPr>
          <w:rFonts w:ascii="宋体" w:hAnsi="宋体"/>
        </w:rPr>
        <w:t>车辆维修、保养及配件相关维修项目等</w:t>
      </w:r>
      <w:r>
        <w:rPr>
          <w:rFonts w:hint="eastAsia" w:ascii="宋体" w:hAnsi="宋体"/>
        </w:rPr>
        <w:t>。</w:t>
      </w:r>
    </w:p>
    <w:p>
      <w:pPr>
        <w:spacing w:line="360" w:lineRule="auto"/>
        <w:ind w:firstLine="420" w:firstLineChars="200"/>
        <w:jc w:val="left"/>
        <w:rPr>
          <w:rFonts w:ascii="宋体" w:cs="宋体"/>
          <w:szCs w:val="21"/>
        </w:rPr>
      </w:pPr>
      <w:r>
        <w:rPr>
          <w:rFonts w:hint="eastAsia" w:ascii="宋体" w:cs="宋体"/>
          <w:szCs w:val="21"/>
        </w:rPr>
        <w:t>2、中标供应商数量:</w:t>
      </w:r>
      <w:r>
        <w:rPr>
          <w:rFonts w:hint="eastAsia"/>
        </w:rPr>
        <w:t xml:space="preserve"> </w:t>
      </w:r>
      <w:r>
        <w:rPr>
          <w:rFonts w:ascii="宋体" w:cs="宋体"/>
          <w:szCs w:val="21"/>
        </w:rPr>
        <w:t>本项目拟选择不超过4家供应商，最终成交供应商数量按照实际到场供应商数量与拟成交供应商数量2:1的比例确定。服务范围根据分行机关及辖内21家支行所在位置及车辆数量情况分为4个服务区域（详见“车辆维修区域划分表”），根据入围供应商经营场所所在位置，按照“便捷”的原则，合理分配确定每家供应商服务区域。每个服务区域确定2家主备选供应商（备选供应商启用条件：在供应商资产发生变故、未按合同履约服务时）。本项目为资质入围采购项目，合同期内，采购人不对具体采购数量（金额）进行承诺，实际采购数量（金额）以实际结算为准。</w:t>
      </w:r>
    </w:p>
    <w:p>
      <w:pPr>
        <w:spacing w:line="360" w:lineRule="auto"/>
        <w:jc w:val="center"/>
        <w:rPr>
          <w:rFonts w:hint="eastAsia" w:ascii="宋体" w:cs="宋体"/>
          <w:szCs w:val="21"/>
        </w:rPr>
      </w:pPr>
      <w:r>
        <w:rPr>
          <w:rFonts w:ascii="宋体" w:cs="宋体"/>
          <w:szCs w:val="21"/>
        </w:rPr>
        <w:t>车辆维修区域划分表</w:t>
      </w:r>
    </w:p>
    <w:p>
      <w:pPr>
        <w:pStyle w:val="2"/>
        <w:spacing w:line="240" w:lineRule="auto"/>
        <w:jc w:val="right"/>
        <w:rPr>
          <w:rFonts w:hint="eastAsia" w:ascii="宋体"/>
        </w:rPr>
      </w:pPr>
      <w:r>
        <w:rPr>
          <w:rFonts w:ascii="宋体"/>
        </w:rPr>
        <w:t>单位：辆</w:t>
      </w:r>
    </w:p>
    <w:tbl>
      <w:tblPr>
        <w:tblStyle w:val="17"/>
        <w:tblW w:w="5000" w:type="pct"/>
        <w:jc w:val="center"/>
        <w:tblLayout w:type="fixed"/>
        <w:tblCellMar>
          <w:top w:w="0" w:type="dxa"/>
          <w:left w:w="108" w:type="dxa"/>
          <w:bottom w:w="0" w:type="dxa"/>
          <w:right w:w="108" w:type="dxa"/>
        </w:tblCellMar>
      </w:tblPr>
      <w:tblGrid>
        <w:gridCol w:w="1187"/>
        <w:gridCol w:w="1188"/>
        <w:gridCol w:w="1189"/>
        <w:gridCol w:w="1189"/>
        <w:gridCol w:w="1189"/>
        <w:gridCol w:w="1189"/>
        <w:gridCol w:w="1189"/>
        <w:gridCol w:w="1193"/>
      </w:tblGrid>
      <w:tr>
        <w:tblPrEx>
          <w:tblCellMar>
            <w:top w:w="0" w:type="dxa"/>
            <w:left w:w="108" w:type="dxa"/>
            <w:bottom w:w="0" w:type="dxa"/>
            <w:right w:w="108" w:type="dxa"/>
          </w:tblCellMar>
        </w:tblPrEx>
        <w:trPr>
          <w:trHeight w:val="624" w:hRule="atLeast"/>
          <w:jc w:val="center"/>
        </w:trPr>
        <w:tc>
          <w:tcPr>
            <w:tcW w:w="1188" w:type="dxa"/>
            <w:tcBorders>
              <w:top w:val="single" w:color="000000" w:sz="4" w:space="0"/>
              <w:left w:val="single" w:color="000000" w:sz="4" w:space="0"/>
              <w:bottom w:val="single" w:color="000000" w:sz="4" w:space="0"/>
              <w:right w:val="single" w:color="000000" w:sz="4" w:space="0"/>
            </w:tcBorders>
            <w:noWrap/>
            <w:vAlign w:val="center"/>
          </w:tcPr>
          <w:p>
            <w:pPr>
              <w:pStyle w:val="2"/>
              <w:spacing w:line="240" w:lineRule="auto"/>
              <w:rPr>
                <w:rFonts w:ascii="宋体"/>
              </w:rPr>
            </w:pPr>
            <w:r>
              <w:rPr>
                <w:rFonts w:ascii="宋体"/>
              </w:rPr>
              <w:t>划分区域</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单位名称/车辆数量</w:t>
            </w:r>
          </w:p>
        </w:tc>
        <w:tc>
          <w:tcPr>
            <w:tcW w:w="1193"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车辆合计</w:t>
            </w:r>
          </w:p>
        </w:tc>
      </w:tr>
      <w:tr>
        <w:tblPrEx>
          <w:tblCellMar>
            <w:top w:w="0" w:type="dxa"/>
            <w:left w:w="108" w:type="dxa"/>
            <w:bottom w:w="0" w:type="dxa"/>
            <w:right w:w="108" w:type="dxa"/>
          </w:tblCellMar>
        </w:tblPrEx>
        <w:trPr>
          <w:trHeight w:val="624" w:hRule="atLeast"/>
          <w:jc w:val="center"/>
        </w:trPr>
        <w:tc>
          <w:tcPr>
            <w:tcW w:w="1188" w:type="dxa"/>
            <w:tcBorders>
              <w:top w:val="single" w:color="000000" w:sz="4" w:space="0"/>
              <w:left w:val="single" w:color="000000" w:sz="4" w:space="0"/>
              <w:bottom w:val="single" w:color="000000" w:sz="4" w:space="0"/>
              <w:right w:val="single" w:color="000000" w:sz="4" w:space="0"/>
            </w:tcBorders>
            <w:noWrap/>
            <w:vAlign w:val="center"/>
          </w:tcPr>
          <w:p>
            <w:pPr>
              <w:pStyle w:val="2"/>
              <w:spacing w:line="240" w:lineRule="auto"/>
              <w:rPr>
                <w:rFonts w:ascii="宋体"/>
              </w:rPr>
            </w:pPr>
            <w:r>
              <w:rPr>
                <w:rFonts w:ascii="宋体"/>
              </w:rPr>
              <w:t>区域1</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市分行机关13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新华西道支行3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建南支行3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路南支行4</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龙泽路支行3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科技支行3</w:t>
            </w:r>
          </w:p>
        </w:tc>
        <w:tc>
          <w:tcPr>
            <w:tcW w:w="1193"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29（含纯电车5）</w:t>
            </w:r>
          </w:p>
        </w:tc>
      </w:tr>
      <w:tr>
        <w:tblPrEx>
          <w:tblCellMar>
            <w:top w:w="0" w:type="dxa"/>
            <w:left w:w="108" w:type="dxa"/>
            <w:bottom w:w="0" w:type="dxa"/>
            <w:right w:w="108" w:type="dxa"/>
          </w:tblCellMar>
        </w:tblPrEx>
        <w:trPr>
          <w:trHeight w:val="624" w:hRule="atLeast"/>
          <w:jc w:val="center"/>
        </w:trPr>
        <w:tc>
          <w:tcPr>
            <w:tcW w:w="1188" w:type="dxa"/>
            <w:tcBorders>
              <w:top w:val="single" w:color="000000" w:sz="4" w:space="0"/>
              <w:left w:val="single" w:color="000000" w:sz="4" w:space="0"/>
              <w:bottom w:val="single" w:color="000000" w:sz="4" w:space="0"/>
              <w:right w:val="single" w:color="000000" w:sz="4" w:space="0"/>
            </w:tcBorders>
            <w:noWrap/>
            <w:vAlign w:val="center"/>
          </w:tcPr>
          <w:p>
            <w:pPr>
              <w:pStyle w:val="2"/>
              <w:spacing w:line="240" w:lineRule="auto"/>
              <w:rPr>
                <w:rFonts w:ascii="宋体"/>
              </w:rPr>
            </w:pPr>
            <w:r>
              <w:rPr>
                <w:rFonts w:ascii="宋体"/>
              </w:rPr>
              <w:t>区域2</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丰南支行5</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芦汉支行2</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开平支行3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丰润支行5</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古冶支行3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广场支行3</w:t>
            </w:r>
          </w:p>
        </w:tc>
        <w:tc>
          <w:tcPr>
            <w:tcW w:w="1193"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21（含纯电车1）</w:t>
            </w:r>
          </w:p>
        </w:tc>
      </w:tr>
      <w:tr>
        <w:trPr>
          <w:trHeight w:val="624" w:hRule="atLeast"/>
          <w:jc w:val="center"/>
        </w:trPr>
        <w:tc>
          <w:tcPr>
            <w:tcW w:w="1188" w:type="dxa"/>
            <w:tcBorders>
              <w:top w:val="single" w:color="000000" w:sz="4" w:space="0"/>
              <w:left w:val="single" w:color="000000" w:sz="4" w:space="0"/>
              <w:bottom w:val="single" w:color="000000" w:sz="4" w:space="0"/>
              <w:right w:val="single" w:color="000000" w:sz="4" w:space="0"/>
            </w:tcBorders>
            <w:noWrap/>
            <w:vAlign w:val="center"/>
          </w:tcPr>
          <w:p>
            <w:pPr>
              <w:pStyle w:val="2"/>
              <w:spacing w:line="240" w:lineRule="auto"/>
              <w:rPr>
                <w:rFonts w:ascii="宋体"/>
              </w:rPr>
            </w:pPr>
            <w:r>
              <w:rPr>
                <w:rFonts w:ascii="宋体"/>
              </w:rPr>
              <w:t>区域3</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玉田支行5</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遵化支行6</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迁西支行5</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迁安支行6</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p>
        </w:tc>
        <w:tc>
          <w:tcPr>
            <w:tcW w:w="1193"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22（含纯电车1）</w:t>
            </w:r>
          </w:p>
        </w:tc>
      </w:tr>
      <w:tr>
        <w:tblPrEx>
          <w:tblCellMar>
            <w:top w:w="0" w:type="dxa"/>
            <w:left w:w="108" w:type="dxa"/>
            <w:bottom w:w="0" w:type="dxa"/>
            <w:right w:w="108" w:type="dxa"/>
          </w:tblCellMar>
        </w:tblPrEx>
        <w:trPr>
          <w:trHeight w:val="624" w:hRule="atLeast"/>
          <w:jc w:val="center"/>
        </w:trPr>
        <w:tc>
          <w:tcPr>
            <w:tcW w:w="1188" w:type="dxa"/>
            <w:tcBorders>
              <w:top w:val="single" w:color="000000" w:sz="4" w:space="0"/>
              <w:left w:val="single" w:color="000000" w:sz="4" w:space="0"/>
              <w:bottom w:val="single" w:color="000000" w:sz="4" w:space="0"/>
              <w:right w:val="single" w:color="000000" w:sz="4" w:space="0"/>
            </w:tcBorders>
            <w:noWrap/>
            <w:vAlign w:val="center"/>
          </w:tcPr>
          <w:p>
            <w:pPr>
              <w:pStyle w:val="2"/>
              <w:spacing w:line="240" w:lineRule="auto"/>
              <w:rPr>
                <w:rFonts w:ascii="宋体"/>
              </w:rPr>
            </w:pPr>
            <w:r>
              <w:rPr>
                <w:rFonts w:ascii="宋体"/>
              </w:rPr>
              <w:t>区域4</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滦州支行4</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滦南支行4</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乐亭支行5</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曹妃甸支行6</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京唐港支行2</w:t>
            </w:r>
          </w:p>
        </w:tc>
        <w:tc>
          <w:tcPr>
            <w:tcW w:w="1189"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南堡支行2</w:t>
            </w:r>
          </w:p>
        </w:tc>
        <w:tc>
          <w:tcPr>
            <w:tcW w:w="1193" w:type="dxa"/>
            <w:tcBorders>
              <w:top w:val="single" w:color="000000" w:sz="4" w:space="0"/>
              <w:left w:val="nil"/>
              <w:bottom w:val="single" w:color="000000" w:sz="4" w:space="0"/>
              <w:right w:val="single" w:color="000000" w:sz="4" w:space="0"/>
            </w:tcBorders>
            <w:noWrap/>
            <w:vAlign w:val="center"/>
          </w:tcPr>
          <w:p>
            <w:pPr>
              <w:pStyle w:val="2"/>
              <w:spacing w:line="240" w:lineRule="auto"/>
              <w:rPr>
                <w:rFonts w:ascii="宋体"/>
              </w:rPr>
            </w:pPr>
            <w:r>
              <w:rPr>
                <w:rFonts w:ascii="宋体"/>
              </w:rPr>
              <w:t>23</w:t>
            </w:r>
          </w:p>
        </w:tc>
      </w:tr>
    </w:tbl>
    <w:p>
      <w:pPr>
        <w:pStyle w:val="2"/>
        <w:rPr>
          <w:rFonts w:hint="eastAsia"/>
        </w:rPr>
      </w:pPr>
    </w:p>
    <w:p>
      <w:pPr>
        <w:spacing w:line="360" w:lineRule="auto"/>
        <w:ind w:firstLine="420" w:firstLineChars="200"/>
        <w:jc w:val="left"/>
        <w:rPr>
          <w:rFonts w:hint="eastAsia" w:ascii="宋体" w:hAnsi="宋体"/>
          <w:szCs w:val="22"/>
        </w:rPr>
      </w:pPr>
      <w:r>
        <w:rPr>
          <w:rFonts w:hint="eastAsia" w:ascii="宋体" w:hAnsi="宋体"/>
          <w:szCs w:val="22"/>
        </w:rPr>
        <w:t>3、服务</w:t>
      </w:r>
      <w:r>
        <w:rPr>
          <w:rFonts w:ascii="宋体" w:hAnsi="宋体"/>
          <w:szCs w:val="22"/>
        </w:rPr>
        <w:t>期限：服务期限自合同签订之日起3年。</w:t>
      </w:r>
    </w:p>
    <w:p>
      <w:pPr>
        <w:ind w:firstLine="420" w:firstLineChars="200"/>
        <w:rPr>
          <w:rFonts w:hint="eastAsia" w:ascii="宋体" w:hAnsi="宋体" w:cs="宋体"/>
          <w:szCs w:val="21"/>
        </w:rPr>
      </w:pPr>
      <w:r>
        <w:rPr>
          <w:rFonts w:hint="eastAsia" w:ascii="宋体" w:hAnsi="宋体" w:cs="宋体"/>
          <w:szCs w:val="21"/>
        </w:rPr>
        <w:t>4、资金来源：企业自筹。</w:t>
      </w:r>
    </w:p>
    <w:p>
      <w:pPr>
        <w:spacing w:line="360" w:lineRule="auto"/>
        <w:ind w:firstLine="422" w:firstLineChars="200"/>
        <w:rPr>
          <w:rFonts w:hint="eastAsia" w:ascii="宋体" w:hAnsi="宋体" w:cs="宋体"/>
          <w:b/>
          <w:bCs/>
          <w:szCs w:val="21"/>
        </w:rPr>
      </w:pPr>
      <w:r>
        <w:rPr>
          <w:rFonts w:hint="eastAsia" w:ascii="宋体" w:hAnsi="宋体" w:cs="宋体"/>
          <w:b/>
          <w:bCs/>
          <w:szCs w:val="21"/>
        </w:rPr>
        <w:t>三、合格投标人的基本资质要求：</w:t>
      </w:r>
    </w:p>
    <w:p>
      <w:pPr>
        <w:spacing w:line="360" w:lineRule="auto"/>
        <w:ind w:firstLine="420" w:firstLineChars="200"/>
        <w:jc w:val="left"/>
        <w:rPr>
          <w:rFonts w:hint="eastAsia" w:ascii="宋体" w:hAnsi="宋体"/>
          <w:szCs w:val="22"/>
        </w:rPr>
      </w:pPr>
      <w:r>
        <w:rPr>
          <w:rFonts w:hint="eastAsia" w:ascii="宋体" w:hAnsi="宋体"/>
          <w:szCs w:val="22"/>
        </w:rPr>
        <w:t>1.具有独立承担民事责任能力。</w:t>
      </w:r>
    </w:p>
    <w:p>
      <w:pPr>
        <w:spacing w:line="360" w:lineRule="auto"/>
        <w:ind w:firstLine="420" w:firstLineChars="200"/>
        <w:jc w:val="left"/>
        <w:rPr>
          <w:rFonts w:hint="eastAsia" w:ascii="宋体" w:hAnsi="宋体"/>
          <w:szCs w:val="22"/>
        </w:rPr>
      </w:pPr>
      <w:r>
        <w:rPr>
          <w:rFonts w:hint="eastAsia" w:ascii="宋体" w:hAnsi="宋体"/>
          <w:szCs w:val="22"/>
        </w:rPr>
        <w:t>2.截至投标截止日，投标人未被“信用中国”网站（http://www.creditchina.gov.cn）列入失信被执行人、重大税收违法失信主体、政府采购严重违法失信行为记录名单。</w:t>
      </w:r>
    </w:p>
    <w:p>
      <w:pPr>
        <w:spacing w:line="360" w:lineRule="auto"/>
        <w:ind w:firstLine="420" w:firstLineChars="200"/>
        <w:jc w:val="left"/>
        <w:rPr>
          <w:rFonts w:hint="eastAsia" w:ascii="宋体" w:hAnsi="宋体"/>
          <w:szCs w:val="22"/>
        </w:rPr>
      </w:pPr>
      <w:r>
        <w:rPr>
          <w:rFonts w:hint="eastAsia" w:ascii="宋体" w:hAnsi="宋体"/>
          <w:szCs w:val="22"/>
        </w:rPr>
        <w:t>3.投标人或其所投产品/服务未被列入《中国农业银行集中采购禁入名录》。</w:t>
      </w:r>
    </w:p>
    <w:p>
      <w:pPr>
        <w:spacing w:line="360" w:lineRule="auto"/>
        <w:ind w:firstLine="420" w:firstLineChars="200"/>
        <w:jc w:val="left"/>
        <w:rPr>
          <w:rFonts w:hint="eastAsia" w:ascii="宋体" w:hAnsi="宋体"/>
          <w:szCs w:val="22"/>
        </w:rPr>
      </w:pPr>
      <w:r>
        <w:rPr>
          <w:rFonts w:hint="eastAsia" w:ascii="宋体" w:hAnsi="宋体"/>
          <w:szCs w:val="22"/>
        </w:rPr>
        <w:t>4.投标人法定代表人、控股股东或实际控制人与采购人高管人员及使用需求部门、采购部门关键岗位人员无夫妻、直系血亲、三代以内旁系血亲或者近姻亲关系。</w:t>
      </w:r>
    </w:p>
    <w:p>
      <w:pPr>
        <w:spacing w:line="360" w:lineRule="auto"/>
        <w:ind w:firstLine="420" w:firstLineChars="200"/>
        <w:jc w:val="left"/>
        <w:rPr>
          <w:rFonts w:hint="eastAsia" w:ascii="宋体" w:hAnsi="宋体"/>
          <w:szCs w:val="22"/>
        </w:rPr>
      </w:pPr>
      <w:r>
        <w:rPr>
          <w:rFonts w:hint="eastAsia" w:ascii="宋体" w:hAnsi="宋体"/>
          <w:szCs w:val="22"/>
        </w:rPr>
        <w:t>5.禁止存在下列关联关系的投标人同时参与本项目采购：</w:t>
      </w:r>
    </w:p>
    <w:p>
      <w:pPr>
        <w:spacing w:line="360" w:lineRule="auto"/>
        <w:ind w:firstLine="420" w:firstLineChars="200"/>
        <w:jc w:val="left"/>
        <w:rPr>
          <w:rFonts w:hint="eastAsia" w:ascii="宋体" w:hAnsi="宋体"/>
          <w:szCs w:val="22"/>
        </w:rPr>
      </w:pPr>
      <w:r>
        <w:rPr>
          <w:rFonts w:hint="eastAsia" w:ascii="宋体" w:hAnsi="宋体"/>
          <w:szCs w:val="22"/>
        </w:rPr>
        <w:t>（1）存在控股、管理关系；</w:t>
      </w:r>
    </w:p>
    <w:p>
      <w:pPr>
        <w:spacing w:line="360" w:lineRule="auto"/>
        <w:ind w:firstLine="420" w:firstLineChars="200"/>
        <w:jc w:val="left"/>
        <w:rPr>
          <w:rFonts w:hint="eastAsia" w:ascii="宋体" w:hAnsi="宋体"/>
          <w:szCs w:val="22"/>
        </w:rPr>
      </w:pPr>
      <w:r>
        <w:rPr>
          <w:rFonts w:hint="eastAsia" w:ascii="宋体" w:hAnsi="宋体"/>
          <w:szCs w:val="22"/>
        </w:rPr>
        <w:t>（2）一方直接持有另一方股权，比例超过20%；</w:t>
      </w:r>
    </w:p>
    <w:p>
      <w:pPr>
        <w:spacing w:line="360" w:lineRule="auto"/>
        <w:ind w:firstLine="420" w:firstLineChars="200"/>
        <w:jc w:val="left"/>
        <w:rPr>
          <w:rFonts w:hint="eastAsia" w:ascii="宋体" w:hAnsi="宋体"/>
          <w:szCs w:val="22"/>
        </w:rPr>
      </w:pPr>
      <w:r>
        <w:rPr>
          <w:rFonts w:hint="eastAsia" w:ascii="宋体" w:hAnsi="宋体"/>
          <w:szCs w:val="22"/>
        </w:rPr>
        <w:t>（3）法定代表人或单位负责人为同一人（以“国家企业信用信息公示系统”显示的“主要人员信息”名单为准）；</w:t>
      </w:r>
    </w:p>
    <w:p>
      <w:pPr>
        <w:spacing w:line="360" w:lineRule="auto"/>
        <w:ind w:firstLine="420" w:firstLineChars="200"/>
        <w:jc w:val="left"/>
        <w:rPr>
          <w:rFonts w:hint="eastAsia" w:ascii="宋体" w:hAnsi="宋体"/>
          <w:szCs w:val="22"/>
        </w:rPr>
      </w:pPr>
      <w:r>
        <w:rPr>
          <w:rFonts w:hint="eastAsia" w:ascii="宋体" w:hAnsi="宋体"/>
          <w:szCs w:val="22"/>
        </w:rPr>
        <w:t>6.投标人具有有效的《机动车维修经营备案表》，《机动车维修经营备案表》在经营范围内需具备</w:t>
      </w:r>
      <w:r>
        <w:rPr>
          <w:rFonts w:ascii="宋体" w:hAnsi="宋体"/>
          <w:szCs w:val="22"/>
        </w:rPr>
        <w:t>二类（含）以上</w:t>
      </w:r>
      <w:r>
        <w:rPr>
          <w:rFonts w:hint="eastAsia" w:ascii="宋体" w:hAnsi="宋体"/>
          <w:szCs w:val="22"/>
        </w:rPr>
        <w:t>汽车维修业户类别并包含小型车维修种类。</w:t>
      </w:r>
    </w:p>
    <w:p>
      <w:pPr>
        <w:spacing w:line="360" w:lineRule="auto"/>
        <w:ind w:firstLine="420" w:firstLineChars="200"/>
        <w:jc w:val="left"/>
        <w:rPr>
          <w:rFonts w:hint="eastAsia" w:ascii="宋体" w:hAnsi="宋体"/>
          <w:szCs w:val="22"/>
        </w:rPr>
      </w:pPr>
      <w:r>
        <w:rPr>
          <w:rFonts w:hint="eastAsia" w:ascii="宋体" w:hAnsi="宋体"/>
          <w:szCs w:val="22"/>
        </w:rPr>
        <w:t>7.供应商涉嫌存在向本行有关部门或人员行贿、输送其他不正当利益等重大违法违规行为的，不得参与本项目。</w:t>
      </w:r>
    </w:p>
    <w:p>
      <w:pPr>
        <w:spacing w:line="360" w:lineRule="auto"/>
        <w:ind w:firstLine="420" w:firstLineChars="200"/>
        <w:rPr>
          <w:rFonts w:hint="eastAsia" w:ascii="宋体" w:cs="宋体"/>
          <w:szCs w:val="21"/>
        </w:rPr>
      </w:pPr>
      <w:r>
        <w:rPr>
          <w:rFonts w:hint="eastAsia" w:ascii="宋体" w:hAnsi="宋体"/>
          <w:szCs w:val="22"/>
        </w:rPr>
        <w:t>8.本项目不接受联合体投标。</w:t>
      </w:r>
    </w:p>
    <w:p>
      <w:pPr>
        <w:spacing w:line="360" w:lineRule="auto"/>
        <w:ind w:firstLine="422" w:firstLineChars="200"/>
        <w:rPr>
          <w:rFonts w:hint="eastAsia" w:ascii="宋体" w:hAnsi="宋体" w:cs="宋体"/>
          <w:b/>
          <w:bCs/>
          <w:szCs w:val="21"/>
        </w:rPr>
      </w:pPr>
      <w:r>
        <w:rPr>
          <w:rFonts w:hint="eastAsia" w:ascii="宋体" w:hAnsi="宋体" w:cs="宋体"/>
          <w:b/>
          <w:bCs/>
          <w:szCs w:val="21"/>
        </w:rPr>
        <w:t>四、招标文件领取：</w:t>
      </w:r>
    </w:p>
    <w:p>
      <w:pPr>
        <w:spacing w:line="360" w:lineRule="auto"/>
        <w:ind w:firstLine="420" w:firstLineChars="200"/>
        <w:rPr>
          <w:rFonts w:ascii="宋体" w:hAnsi="宋体" w:cs="宋体"/>
          <w:szCs w:val="21"/>
        </w:rPr>
      </w:pPr>
      <w:r>
        <w:rPr>
          <w:rFonts w:ascii="宋体" w:hAnsi="宋体" w:cs="宋体"/>
          <w:szCs w:val="21"/>
        </w:rPr>
        <w:t>（1）招标文件发售时间：2026年</w:t>
      </w:r>
      <w:r>
        <w:rPr>
          <w:rFonts w:hint="eastAsia" w:ascii="宋体" w:hAnsi="宋体" w:cs="宋体"/>
          <w:szCs w:val="21"/>
        </w:rPr>
        <w:t>09</w:t>
      </w:r>
      <w:r>
        <w:rPr>
          <w:rFonts w:ascii="宋体" w:hAnsi="宋体" w:cs="宋体"/>
          <w:szCs w:val="21"/>
        </w:rPr>
        <w:t>月</w:t>
      </w:r>
      <w:r>
        <w:rPr>
          <w:rFonts w:hint="eastAsia" w:ascii="宋体" w:hAnsi="宋体" w:cs="宋体"/>
          <w:szCs w:val="21"/>
        </w:rPr>
        <w:t>16</w:t>
      </w:r>
      <w:r>
        <w:rPr>
          <w:rFonts w:ascii="宋体" w:hAnsi="宋体" w:cs="宋体"/>
          <w:szCs w:val="21"/>
        </w:rPr>
        <w:t>日09：00至2026年</w:t>
      </w:r>
      <w:r>
        <w:rPr>
          <w:rFonts w:hint="eastAsia" w:ascii="宋体" w:hAnsi="宋体" w:cs="宋体"/>
          <w:szCs w:val="21"/>
        </w:rPr>
        <w:t>09</w:t>
      </w:r>
      <w:r>
        <w:rPr>
          <w:rFonts w:ascii="宋体" w:hAnsi="宋体" w:cs="宋体"/>
          <w:szCs w:val="21"/>
        </w:rPr>
        <w:t>月</w:t>
      </w:r>
      <w:r>
        <w:rPr>
          <w:rFonts w:hint="eastAsia" w:ascii="宋体" w:hAnsi="宋体" w:cs="宋体"/>
          <w:szCs w:val="21"/>
        </w:rPr>
        <w:t>22</w:t>
      </w:r>
      <w:r>
        <w:rPr>
          <w:rFonts w:ascii="宋体" w:hAnsi="宋体" w:cs="宋体"/>
          <w:szCs w:val="21"/>
        </w:rPr>
        <w:t>日17：30，未购买招标文件的投标人不得参加投标。</w:t>
      </w:r>
    </w:p>
    <w:p>
      <w:pPr>
        <w:spacing w:line="360" w:lineRule="auto"/>
        <w:ind w:firstLine="420" w:firstLineChars="200"/>
        <w:rPr>
          <w:rFonts w:ascii="宋体" w:hAnsi="宋体" w:cs="宋体"/>
          <w:szCs w:val="21"/>
        </w:rPr>
      </w:pPr>
      <w:r>
        <w:rPr>
          <w:rFonts w:ascii="宋体" w:hAnsi="宋体" w:cs="宋体"/>
          <w:szCs w:val="21"/>
        </w:rPr>
        <w:t>（2）招标文件获取方式：</w:t>
      </w:r>
    </w:p>
    <w:p>
      <w:pPr>
        <w:spacing w:line="360" w:lineRule="auto"/>
        <w:ind w:firstLine="420" w:firstLineChars="200"/>
        <w:rPr>
          <w:rFonts w:ascii="宋体" w:hAnsi="宋体" w:cs="宋体"/>
          <w:szCs w:val="21"/>
        </w:rPr>
      </w:pPr>
      <w:r>
        <w:rPr>
          <w:rFonts w:ascii="宋体" w:hAnsi="宋体" w:cs="宋体"/>
          <w:szCs w:val="21"/>
        </w:rPr>
        <w:t>①文件售价：人民币0元，招标文件售后不退。</w:t>
      </w:r>
    </w:p>
    <w:p>
      <w:pPr>
        <w:spacing w:line="360" w:lineRule="auto"/>
        <w:ind w:firstLine="420" w:firstLineChars="200"/>
        <w:rPr>
          <w:rFonts w:ascii="宋体" w:hAnsi="宋体" w:cs="宋体"/>
          <w:szCs w:val="21"/>
        </w:rPr>
      </w:pPr>
      <w:r>
        <w:rPr>
          <w:rFonts w:ascii="宋体" w:hAnsi="宋体" w:cs="宋体"/>
          <w:szCs w:val="21"/>
        </w:rPr>
        <w:t>②支付成功后，潜在投标人登录中国农业银行电子招采中心（https://jc.abchina.com.cn），以下简称“电子招采中心”，下载招标文件。</w:t>
      </w:r>
    </w:p>
    <w:p>
      <w:pPr>
        <w:spacing w:line="360" w:lineRule="auto"/>
        <w:ind w:firstLine="420" w:firstLineChars="200"/>
        <w:rPr>
          <w:rFonts w:ascii="宋体" w:hAnsi="宋体" w:cs="宋体"/>
          <w:szCs w:val="21"/>
        </w:rPr>
      </w:pPr>
      <w:r>
        <w:rPr>
          <w:rFonts w:ascii="宋体" w:hAnsi="宋体" w:cs="宋体"/>
          <w:szCs w:val="21"/>
        </w:rPr>
        <w:t>第一步：完成手机注册；</w:t>
      </w:r>
    </w:p>
    <w:p>
      <w:pPr>
        <w:spacing w:line="360" w:lineRule="auto"/>
        <w:ind w:firstLine="420" w:firstLineChars="200"/>
        <w:rPr>
          <w:rFonts w:ascii="宋体" w:hAnsi="宋体" w:cs="宋体"/>
          <w:szCs w:val="21"/>
        </w:rPr>
      </w:pPr>
      <w:r>
        <w:rPr>
          <w:rFonts w:ascii="宋体" w:hAnsi="宋体" w:cs="宋体"/>
          <w:szCs w:val="21"/>
        </w:rPr>
        <w:t>第二步：注册手机号完成后，进行企业认领，提交后点击确认，页面显示待审核后，编辑短信：“单位名称+注册手机号+企业认领待审核+项目名称”发送至招标代理机构联系人电话。</w:t>
      </w:r>
      <w:r>
        <w:rPr>
          <w:rFonts w:hint="eastAsia" w:ascii="宋体" w:hAnsi="宋体" w:cs="宋体"/>
          <w:szCs w:val="21"/>
        </w:rPr>
        <w:t>（第一、二步仅适用于新注册供应商，已有账号供应商请忽略）。</w:t>
      </w:r>
    </w:p>
    <w:p>
      <w:pPr>
        <w:spacing w:line="360" w:lineRule="auto"/>
        <w:ind w:firstLine="420" w:firstLineChars="200"/>
        <w:rPr>
          <w:rFonts w:ascii="宋体" w:hAnsi="宋体" w:cs="宋体"/>
          <w:szCs w:val="21"/>
        </w:rPr>
      </w:pPr>
      <w:r>
        <w:rPr>
          <w:rFonts w:hint="eastAsia" w:ascii="宋体" w:hAnsi="宋体" w:cs="宋体"/>
          <w:szCs w:val="21"/>
        </w:rPr>
        <w:t>第三步：企业认领审核通过后（如需），找到对应项目点击报名，然后进入“我的项目”选择该项目流程，点击“招标文件领取”，下载招标文件前请尽快办理实体USB证书(至少办理一个单位CA和一个人名CA，人名CA建议办理法定代表人)(如临近招标文件获取截止时间CA还未办理完成无法签署“保密承诺书”，请联系招标代理进行纸质扫描件上传)，单位CA激活绑定招采中心时所有“名称”“使用人”等填写名称的位置统一填写单位全称。</w:t>
      </w:r>
    </w:p>
    <w:p>
      <w:pPr>
        <w:spacing w:line="360" w:lineRule="auto"/>
        <w:ind w:firstLine="420" w:firstLineChars="200"/>
        <w:rPr>
          <w:rFonts w:ascii="宋体" w:hAnsi="宋体" w:cs="宋体"/>
          <w:szCs w:val="21"/>
        </w:rPr>
      </w:pPr>
      <w:r>
        <w:rPr>
          <w:rFonts w:ascii="宋体" w:hAnsi="宋体" w:cs="宋体"/>
          <w:szCs w:val="21"/>
        </w:rPr>
        <w:t>如有其他疑问，请及时与联系人沟通。如因未进行注册或注册信息不真实、不完整等造成的相应后果由投标人自行承担。</w:t>
      </w:r>
    </w:p>
    <w:p>
      <w:pPr>
        <w:spacing w:line="360" w:lineRule="auto"/>
        <w:ind w:firstLine="420" w:firstLineChars="200"/>
        <w:rPr>
          <w:rFonts w:ascii="宋体" w:hAnsi="宋体" w:cs="宋体"/>
          <w:szCs w:val="21"/>
        </w:rPr>
      </w:pPr>
      <w:r>
        <w:rPr>
          <w:rFonts w:ascii="宋体" w:hAnsi="宋体" w:cs="宋体"/>
          <w:szCs w:val="21"/>
        </w:rPr>
        <w:t>相关操作要求及常见问题请查看电子招采中心“帮助中心”</w:t>
      </w:r>
    </w:p>
    <w:p>
      <w:pPr>
        <w:spacing w:line="360" w:lineRule="auto"/>
        <w:ind w:firstLine="420" w:firstLineChars="200"/>
        <w:rPr>
          <w:rFonts w:ascii="宋体" w:hAnsi="宋体" w:cs="宋体"/>
          <w:szCs w:val="21"/>
        </w:rPr>
      </w:pPr>
      <w:r>
        <w:rPr>
          <w:rFonts w:ascii="宋体" w:hAnsi="宋体" w:cs="宋体"/>
          <w:szCs w:val="21"/>
        </w:rPr>
        <w:t>提示：</w:t>
      </w:r>
    </w:p>
    <w:p>
      <w:pPr>
        <w:spacing w:line="360" w:lineRule="auto"/>
        <w:ind w:firstLine="420" w:firstLineChars="200"/>
        <w:rPr>
          <w:rFonts w:ascii="宋体" w:hAnsi="宋体" w:cs="宋体"/>
          <w:szCs w:val="21"/>
        </w:rPr>
      </w:pPr>
      <w:r>
        <w:rPr>
          <w:rFonts w:ascii="宋体" w:hAnsi="宋体" w:cs="宋体"/>
          <w:szCs w:val="21"/>
        </w:rPr>
        <w:t>1.中国农业银行电子招采中心下载招标文件为潜在投标人必要操作步骤，否则将无法在中国农业银行电子招采中心参与线上投标。</w:t>
      </w:r>
    </w:p>
    <w:p>
      <w:pPr>
        <w:spacing w:line="360" w:lineRule="auto"/>
        <w:ind w:firstLine="420" w:firstLineChars="200"/>
        <w:rPr>
          <w:rFonts w:ascii="宋体" w:hAnsi="宋体" w:cs="宋体"/>
          <w:szCs w:val="21"/>
        </w:rPr>
      </w:pPr>
      <w:r>
        <w:rPr>
          <w:rFonts w:ascii="宋体" w:hAnsi="宋体" w:cs="宋体"/>
          <w:szCs w:val="21"/>
        </w:rPr>
        <w:t>2.潜在投标人应充分考虑平台注册、资料准备及上传、注册申请后台审核等流程所需的时间和不可预见因素。</w:t>
      </w:r>
    </w:p>
    <w:p>
      <w:pPr>
        <w:spacing w:line="360" w:lineRule="auto"/>
        <w:ind w:firstLine="422" w:firstLineChars="200"/>
        <w:rPr>
          <w:rFonts w:hint="eastAsia" w:ascii="宋体" w:hAnsi="宋体" w:cs="宋体"/>
          <w:b/>
          <w:bCs/>
          <w:szCs w:val="21"/>
        </w:rPr>
      </w:pPr>
      <w:r>
        <w:rPr>
          <w:rFonts w:hint="eastAsia" w:ascii="宋体" w:hAnsi="宋体" w:cs="宋体"/>
          <w:b/>
          <w:bCs/>
          <w:szCs w:val="21"/>
        </w:rPr>
        <w:t>五、项目说明会</w:t>
      </w:r>
    </w:p>
    <w:p>
      <w:pPr>
        <w:tabs>
          <w:tab w:val="left" w:pos="1050"/>
        </w:tabs>
        <w:spacing w:line="360" w:lineRule="auto"/>
        <w:ind w:firstLine="420" w:firstLineChars="200"/>
        <w:rPr>
          <w:rFonts w:hint="eastAsia" w:ascii="宋体" w:hAnsi="宋体" w:cs="宋体"/>
          <w:szCs w:val="21"/>
        </w:rPr>
      </w:pPr>
      <w:r>
        <w:rPr>
          <w:rFonts w:hint="eastAsia"/>
        </w:rPr>
        <w:t>不召开。</w:t>
      </w:r>
    </w:p>
    <w:p>
      <w:pPr>
        <w:spacing w:line="360" w:lineRule="auto"/>
        <w:ind w:firstLine="422" w:firstLineChars="200"/>
        <w:rPr>
          <w:rFonts w:hint="eastAsia" w:ascii="宋体" w:hAnsi="宋体" w:cs="宋体"/>
          <w:b/>
          <w:bCs/>
          <w:szCs w:val="21"/>
        </w:rPr>
      </w:pPr>
      <w:r>
        <w:rPr>
          <w:rFonts w:hint="eastAsia" w:ascii="宋体" w:hAnsi="宋体" w:cs="宋体"/>
          <w:b/>
          <w:bCs/>
          <w:szCs w:val="21"/>
        </w:rPr>
        <w:t>六、澄清答疑时间安排</w:t>
      </w:r>
    </w:p>
    <w:p>
      <w:pPr>
        <w:spacing w:line="360" w:lineRule="auto"/>
        <w:ind w:firstLine="420" w:firstLineChars="200"/>
        <w:rPr>
          <w:rFonts w:hint="eastAsia" w:ascii="宋体" w:hAnsi="宋体"/>
          <w:color w:val="000000"/>
          <w:szCs w:val="21"/>
        </w:rPr>
      </w:pPr>
      <w:r>
        <w:rPr>
          <w:rFonts w:hint="eastAsia" w:ascii="宋体" w:hAnsi="宋体"/>
          <w:color w:val="000000"/>
          <w:szCs w:val="21"/>
        </w:rPr>
        <w:t>各投标人如果对本项目招标文件有任何澄清要求，请于2026年09月29日09点00分00秒前在电子招采中心提出，招标人将在电子招采中心发出澄清文件。</w:t>
      </w:r>
    </w:p>
    <w:p>
      <w:pPr>
        <w:spacing w:line="360" w:lineRule="auto"/>
        <w:ind w:firstLine="422" w:firstLineChars="200"/>
        <w:rPr>
          <w:rFonts w:hint="eastAsia" w:ascii="宋体" w:hAnsi="宋体" w:cs="宋体"/>
          <w:b/>
          <w:bCs/>
          <w:szCs w:val="21"/>
        </w:rPr>
      </w:pPr>
      <w:r>
        <w:rPr>
          <w:rFonts w:hint="eastAsia" w:ascii="宋体" w:hAnsi="宋体" w:cs="宋体"/>
          <w:b/>
          <w:bCs/>
          <w:szCs w:val="21"/>
        </w:rPr>
        <w:t>七、</w:t>
      </w:r>
      <w:r>
        <w:rPr>
          <w:rFonts w:hint="eastAsia"/>
          <w:b/>
          <w:bCs/>
          <w:color w:val="000000"/>
        </w:rPr>
        <w:t>投标文件的传输递交</w:t>
      </w:r>
    </w:p>
    <w:p>
      <w:pPr>
        <w:spacing w:line="360" w:lineRule="auto"/>
        <w:ind w:firstLine="420" w:firstLineChars="200"/>
        <w:rPr>
          <w:rFonts w:hint="eastAsia"/>
        </w:rPr>
      </w:pPr>
      <w:r>
        <w:rPr>
          <w:rFonts w:hint="eastAsia" w:ascii="宋体" w:hAnsi="宋体"/>
          <w:color w:val="000000"/>
          <w:szCs w:val="21"/>
        </w:rPr>
        <w:t>投标文件传输递交的截止时间（投标截止时间）</w:t>
      </w:r>
      <w:r>
        <w:rPr>
          <w:rFonts w:hint="eastAsia" w:ascii="宋体" w:hAnsi="宋体" w:cs="宋体"/>
          <w:szCs w:val="21"/>
        </w:rPr>
        <w:t>：北京时间2026年10月09日09点00分。</w:t>
      </w:r>
      <w:r>
        <w:rPr>
          <w:rFonts w:hint="eastAsia"/>
        </w:rPr>
        <w:t>本项目将通过电子招采中心进行</w:t>
      </w:r>
      <w:r>
        <w:t>查看投标人</w:t>
      </w:r>
      <w:r>
        <w:rPr>
          <w:rFonts w:hint="eastAsia"/>
        </w:rPr>
        <w:t>、</w:t>
      </w:r>
      <w:r>
        <w:t>标书</w:t>
      </w:r>
      <w:r>
        <w:rPr>
          <w:rFonts w:hint="eastAsia"/>
        </w:rPr>
        <w:t>解密、标书导入、唱标等环节。</w:t>
      </w:r>
    </w:p>
    <w:p>
      <w:pPr>
        <w:spacing w:line="360" w:lineRule="auto"/>
        <w:ind w:firstLine="420" w:firstLineChars="200"/>
        <w:rPr>
          <w:rFonts w:hint="eastAsia" w:ascii="宋体" w:hAnsi="宋体" w:cs="宋体"/>
          <w:szCs w:val="21"/>
        </w:rPr>
      </w:pPr>
      <w:r>
        <w:rPr>
          <w:rFonts w:hint="eastAsia" w:ascii="宋体" w:hAnsi="宋体" w:cs="宋体"/>
          <w:szCs w:val="21"/>
        </w:rPr>
        <w:t>在投标截止时间前完成投标文件的传输递交，</w:t>
      </w:r>
      <w:r>
        <w:rPr>
          <w:rFonts w:hint="eastAsia" w:ascii="宋体" w:hAnsi="宋体"/>
          <w:color w:val="000000"/>
          <w:szCs w:val="21"/>
        </w:rPr>
        <w:t>逾期完成传输递交的投标文件，招标人不予受理。</w:t>
      </w:r>
    </w:p>
    <w:p>
      <w:pPr>
        <w:spacing w:line="360" w:lineRule="auto"/>
        <w:ind w:firstLine="420" w:firstLineChars="200"/>
        <w:rPr>
          <w:rFonts w:hint="eastAsia" w:ascii="宋体" w:hAnsi="宋体" w:cs="宋体"/>
          <w:iCs/>
          <w:szCs w:val="21"/>
        </w:rPr>
      </w:pPr>
      <w:r>
        <w:rPr>
          <w:rFonts w:hint="eastAsia" w:ascii="宋体" w:hAnsi="宋体" w:cs="宋体"/>
          <w:iCs/>
          <w:szCs w:val="21"/>
        </w:rPr>
        <w:t>投标文件传输递交方式：</w:t>
      </w:r>
    </w:p>
    <w:p>
      <w:pPr>
        <w:spacing w:line="360" w:lineRule="auto"/>
        <w:ind w:firstLine="420" w:firstLineChars="200"/>
        <w:rPr>
          <w:rFonts w:hint="eastAsia" w:ascii="宋体" w:hAnsi="宋体" w:cs="宋体"/>
          <w:iCs/>
          <w:szCs w:val="21"/>
        </w:rPr>
      </w:pPr>
      <w:r>
        <w:rPr>
          <w:rFonts w:hint="eastAsia" w:ascii="宋体" w:hAnsi="宋体" w:cs="宋体"/>
          <w:iCs/>
          <w:szCs w:val="21"/>
        </w:rPr>
        <w:t>1.投标人应按照招标文件和电子招采中心相关操作要求，编制并加密投标文件；</w:t>
      </w:r>
    </w:p>
    <w:p>
      <w:pPr>
        <w:spacing w:line="360" w:lineRule="auto"/>
        <w:ind w:firstLine="420" w:firstLineChars="200"/>
        <w:rPr>
          <w:rFonts w:hint="eastAsia" w:ascii="宋体" w:hAnsi="宋体" w:cs="宋体"/>
          <w:iCs/>
          <w:szCs w:val="21"/>
        </w:rPr>
      </w:pPr>
      <w:r>
        <w:rPr>
          <w:rFonts w:hint="eastAsia" w:ascii="宋体" w:hAnsi="宋体" w:cs="宋体"/>
          <w:iCs/>
          <w:szCs w:val="21"/>
        </w:rPr>
        <w:t>2.投标人应按照招标文件和电子招采中心相关操作要求，在投标截止时间前，通过电子招采中心完成投标文件的传输递交；</w:t>
      </w:r>
    </w:p>
    <w:p>
      <w:pPr>
        <w:spacing w:line="360" w:lineRule="auto"/>
        <w:ind w:firstLine="422" w:firstLineChars="200"/>
        <w:rPr>
          <w:rFonts w:hint="eastAsia" w:ascii="宋体" w:hAnsi="宋体" w:cs="宋体"/>
          <w:b/>
          <w:bCs/>
          <w:szCs w:val="21"/>
        </w:rPr>
      </w:pPr>
      <w:bookmarkStart w:id="4" w:name="_Toc497583949"/>
      <w:bookmarkStart w:id="5" w:name="_Toc489691757"/>
      <w:bookmarkStart w:id="6" w:name="_Toc480583850"/>
      <w:r>
        <w:rPr>
          <w:rFonts w:hint="eastAsia" w:ascii="宋体" w:hAnsi="宋体" w:cs="宋体"/>
          <w:b/>
          <w:bCs/>
          <w:szCs w:val="21"/>
        </w:rPr>
        <w:t>八、发布公告的媒介</w:t>
      </w:r>
      <w:bookmarkEnd w:id="4"/>
      <w:bookmarkEnd w:id="5"/>
      <w:bookmarkEnd w:id="6"/>
    </w:p>
    <w:p>
      <w:pPr>
        <w:spacing w:line="360" w:lineRule="auto"/>
        <w:ind w:firstLine="420" w:firstLineChars="200"/>
        <w:rPr>
          <w:rFonts w:hint="eastAsia" w:ascii="宋体" w:hAnsi="宋体"/>
        </w:rPr>
      </w:pPr>
      <w:r>
        <w:rPr>
          <w:rFonts w:ascii="宋体" w:hAnsi="宋体"/>
        </w:rPr>
        <w:t>本次招标公告已在中国农业银行农银e采平台发布（https://jc.abchina.com.cn），同时在中国招标投标公共服务平台、中国金融集中采购网、中国采购与招标网、中国农业银行门户网站河北分行子站点上发布。</w:t>
      </w:r>
    </w:p>
    <w:p>
      <w:pPr>
        <w:spacing w:line="360" w:lineRule="auto"/>
        <w:ind w:firstLine="422" w:firstLineChars="200"/>
        <w:rPr>
          <w:rFonts w:ascii="宋体" w:hAnsi="宋体" w:cs="宋体"/>
          <w:b/>
          <w:bCs/>
          <w:szCs w:val="21"/>
        </w:rPr>
      </w:pPr>
      <w:r>
        <w:rPr>
          <w:rFonts w:hint="eastAsia" w:ascii="宋体" w:hAnsi="宋体" w:cs="宋体"/>
          <w:b/>
          <w:bCs/>
          <w:szCs w:val="21"/>
        </w:rPr>
        <w:t>九、注意事项</w:t>
      </w:r>
    </w:p>
    <w:p>
      <w:pPr>
        <w:spacing w:line="360" w:lineRule="auto"/>
        <w:ind w:firstLine="420" w:firstLineChars="200"/>
      </w:pPr>
      <w:r>
        <w:rPr>
          <w:rFonts w:hint="eastAsia"/>
        </w:rPr>
        <w:t>1.</w:t>
      </w:r>
      <w:r>
        <w:t>投标人应按照</w:t>
      </w:r>
      <w:r>
        <w:rPr>
          <w:rFonts w:hint="eastAsia"/>
        </w:rPr>
        <w:t>电子招采中心</w:t>
      </w:r>
      <w:r>
        <w:t>相关操作手册进行下载</w:t>
      </w:r>
      <w:r>
        <w:rPr>
          <w:rFonts w:hint="eastAsia"/>
        </w:rPr>
        <w:t>电子招采中心</w:t>
      </w:r>
      <w:r>
        <w:t>工具包、注册、办理CA数字证书、报名、申领招标文件、投标文件制作加密上传、参与开标等操作。</w:t>
      </w:r>
    </w:p>
    <w:p>
      <w:pPr>
        <w:spacing w:line="360" w:lineRule="auto"/>
        <w:ind w:firstLine="420" w:firstLineChars="200"/>
      </w:pPr>
      <w:r>
        <w:rPr>
          <w:rFonts w:hint="eastAsia"/>
        </w:rPr>
        <w:t>2.</w:t>
      </w:r>
      <w:r>
        <w:t>投标人针对技术问题的咨询，可拨打</w:t>
      </w:r>
      <w:r>
        <w:rPr>
          <w:rFonts w:hint="eastAsia"/>
        </w:rPr>
        <w:t>电子招采中心</w:t>
      </w:r>
      <w:r>
        <w:t>技术支持联系电话：0311-85118322、15333217722，工作时间：周一至周五 9:00-17:00，法定节假日除外。</w:t>
      </w:r>
    </w:p>
    <w:p>
      <w:pPr>
        <w:spacing w:line="360" w:lineRule="auto"/>
        <w:ind w:firstLine="420" w:firstLineChars="200"/>
        <w:rPr>
          <w:rFonts w:hint="eastAsia" w:ascii="宋体" w:hAnsi="宋体" w:cs="宋体"/>
          <w:iCs/>
          <w:szCs w:val="21"/>
        </w:rPr>
      </w:pPr>
      <w:r>
        <w:rPr>
          <w:rFonts w:hint="eastAsia" w:ascii="宋体" w:hAnsi="宋体" w:cs="宋体"/>
          <w:iCs/>
          <w:szCs w:val="21"/>
        </w:rPr>
        <w:t>3.投标人应充分考虑平台注册、办理CA数字证书、资料准备及上传、注册申请后台审核、招标文件下载、投标文件上传等流程所需的时间和不可预见因素。</w:t>
      </w:r>
      <w:r>
        <w:rPr>
          <w:rFonts w:hint="eastAsia"/>
        </w:rPr>
        <w:t>投标截止时间前未完成投标文件递交传输的，视为撤回投标文件。投标截止时间后上传递交投标文件，</w:t>
      </w:r>
      <w:r>
        <w:rPr>
          <w:rFonts w:hint="eastAsia" w:ascii="宋体" w:hAnsi="宋体" w:cs="宋体"/>
          <w:iCs/>
          <w:szCs w:val="21"/>
        </w:rPr>
        <w:t>电子招采中心将拒收。</w:t>
      </w:r>
    </w:p>
    <w:p>
      <w:pPr>
        <w:spacing w:line="360" w:lineRule="auto"/>
        <w:ind w:firstLine="420" w:firstLineChars="200"/>
        <w:rPr>
          <w:rFonts w:hint="eastAsia" w:ascii="宋体" w:hAnsi="宋体" w:cs="宋体"/>
          <w:iCs/>
          <w:szCs w:val="21"/>
        </w:rPr>
      </w:pPr>
      <w:r>
        <w:rPr>
          <w:rFonts w:hint="eastAsia" w:ascii="宋体" w:hAnsi="宋体" w:cs="宋体"/>
          <w:iCs/>
          <w:szCs w:val="21"/>
          <w:lang w:bidi="ar"/>
        </w:rPr>
        <w:t>4.（1）电子招采中心下载招标文件为潜在投标人必要操作步骤，否则将无法在采购平台参与线上投标。用户注册手册及投标操作手册下载方式：详见“中国农业银行农银</w:t>
      </w:r>
      <w:r>
        <w:rPr>
          <w:rFonts w:hint="eastAsia" w:ascii="宋体" w:hAnsi="宋体" w:cs="宋体"/>
          <w:szCs w:val="21"/>
        </w:rPr>
        <w:t>e</w:t>
      </w:r>
      <w:r>
        <w:rPr>
          <w:rFonts w:hint="eastAsia" w:ascii="宋体" w:hAnsi="宋体" w:cs="宋体"/>
          <w:iCs/>
          <w:szCs w:val="21"/>
          <w:lang w:bidi="ar"/>
        </w:rPr>
        <w:t>采电子招采中心”首页-“帮助中心”-“操作指南”。</w:t>
      </w:r>
    </w:p>
    <w:p>
      <w:pPr>
        <w:spacing w:line="360" w:lineRule="auto"/>
        <w:ind w:firstLine="420" w:firstLineChars="200"/>
        <w:rPr>
          <w:rFonts w:hint="eastAsia" w:ascii="宋体" w:hAnsi="宋体" w:cs="宋体"/>
          <w:iCs/>
          <w:szCs w:val="21"/>
        </w:rPr>
      </w:pPr>
      <w:r>
        <w:rPr>
          <w:rFonts w:hint="eastAsia" w:ascii="宋体" w:hAnsi="宋体" w:cs="宋体"/>
          <w:iCs/>
          <w:szCs w:val="21"/>
          <w:lang w:bidi="ar"/>
        </w:rPr>
        <w:t>（2）潜在投标人首次进行农银</w:t>
      </w:r>
      <w:r>
        <w:rPr>
          <w:rFonts w:hint="eastAsia" w:ascii="宋体" w:hAnsi="宋体" w:cs="宋体"/>
          <w:szCs w:val="21"/>
        </w:rPr>
        <w:t>e</w:t>
      </w:r>
      <w:r>
        <w:rPr>
          <w:rFonts w:hint="eastAsia" w:ascii="宋体" w:hAnsi="宋体" w:cs="宋体"/>
          <w:iCs/>
          <w:szCs w:val="21"/>
          <w:lang w:bidi="ar"/>
        </w:rPr>
        <w:t>采电子招采中心网上注册时，相关人员认领企业并完善相关信息后提供系统提交审核，系统提交后，务必按要求发送邮件至</w:t>
      </w:r>
      <w:r>
        <w:rPr>
          <w:rFonts w:ascii="宋体" w:hAnsi="宋体" w:cs="宋体"/>
          <w:iCs/>
          <w:szCs w:val="21"/>
          <w:lang w:bidi="ar"/>
        </w:rPr>
        <w:t>gcmc_dongtf@163.com</w:t>
      </w:r>
      <w:r>
        <w:rPr>
          <w:rFonts w:hint="eastAsia" w:ascii="宋体" w:hAnsi="宋体" w:cs="宋体"/>
          <w:iCs/>
          <w:szCs w:val="21"/>
          <w:lang w:bidi="ar"/>
        </w:rPr>
        <w:t>进行审核（邮件发送：邮件标题为“公司名称+项目名称”，邮件正文为“公司名称+注册登录手机号”）。</w:t>
      </w:r>
    </w:p>
    <w:p>
      <w:pPr>
        <w:spacing w:line="360" w:lineRule="auto"/>
        <w:ind w:firstLine="420" w:firstLineChars="200"/>
        <w:rPr>
          <w:rFonts w:hint="eastAsia" w:ascii="宋体" w:hAnsi="宋体" w:cs="宋体"/>
          <w:iCs/>
          <w:szCs w:val="21"/>
        </w:rPr>
      </w:pPr>
      <w:r>
        <w:rPr>
          <w:rFonts w:hint="eastAsia" w:ascii="宋体" w:hAnsi="宋体" w:cs="宋体"/>
          <w:iCs/>
          <w:szCs w:val="21"/>
          <w:lang w:bidi="ar"/>
        </w:rPr>
        <w:t>注意事项：</w:t>
      </w:r>
    </w:p>
    <w:p>
      <w:pPr>
        <w:spacing w:line="360" w:lineRule="auto"/>
        <w:ind w:firstLine="420" w:firstLineChars="200"/>
        <w:rPr>
          <w:rFonts w:hint="eastAsia" w:ascii="宋体" w:hAnsi="宋体" w:cs="宋体"/>
          <w:iCs/>
          <w:szCs w:val="21"/>
        </w:rPr>
      </w:pPr>
      <w:r>
        <w:rPr>
          <w:rFonts w:hint="eastAsia" w:ascii="宋体" w:hAnsi="宋体" w:cs="宋体"/>
          <w:iCs/>
          <w:szCs w:val="21"/>
          <w:lang w:bidi="ar"/>
        </w:rPr>
        <w:t>1、首次进行农银e采电子招采中心网上注册时，相关人员为认领企业，后续注册用户为加入企业，由其投标人认领企业人员进行审核即可，加入企业人员不用联系招标人审核。</w:t>
      </w:r>
    </w:p>
    <w:p>
      <w:pPr>
        <w:spacing w:line="360" w:lineRule="auto"/>
        <w:ind w:firstLine="420" w:firstLineChars="200"/>
        <w:rPr>
          <w:rFonts w:hint="eastAsia" w:ascii="宋体" w:hAnsi="宋体" w:cs="宋体"/>
          <w:iCs/>
          <w:szCs w:val="21"/>
        </w:rPr>
      </w:pPr>
      <w:r>
        <w:rPr>
          <w:rFonts w:hint="eastAsia" w:ascii="宋体" w:hAnsi="宋体" w:cs="宋体"/>
          <w:iCs/>
          <w:szCs w:val="21"/>
          <w:lang w:bidi="ar"/>
        </w:rPr>
        <w:t>2、企业认领时，上传的营业执照、法定代表人授权书、法人及经办人身份证复印件等需加盖公司印章（或电子签章），否则无效。</w:t>
      </w:r>
    </w:p>
    <w:p>
      <w:pPr>
        <w:spacing w:line="360" w:lineRule="auto"/>
        <w:ind w:firstLine="420" w:firstLineChars="200"/>
        <w:rPr>
          <w:rFonts w:ascii="宋体" w:hAnsi="宋体" w:cs="宋体"/>
          <w:iCs/>
          <w:szCs w:val="21"/>
        </w:rPr>
      </w:pPr>
      <w:r>
        <w:rPr>
          <w:rFonts w:hint="eastAsia" w:ascii="宋体" w:hAnsi="宋体" w:cs="宋体"/>
          <w:iCs/>
          <w:szCs w:val="21"/>
        </w:rPr>
        <w:t>招标人名称：中国农业银行股份有限公司唐山分行</w:t>
      </w:r>
    </w:p>
    <w:p>
      <w:pPr>
        <w:spacing w:line="360" w:lineRule="auto"/>
        <w:ind w:firstLine="420" w:firstLineChars="200"/>
        <w:rPr>
          <w:rFonts w:ascii="宋体" w:hAnsi="宋体" w:cs="宋体"/>
          <w:iCs/>
          <w:szCs w:val="21"/>
        </w:rPr>
      </w:pPr>
      <w:r>
        <w:rPr>
          <w:rFonts w:hint="eastAsia" w:ascii="宋体" w:hAnsi="宋体" w:cs="宋体"/>
          <w:iCs/>
          <w:szCs w:val="21"/>
        </w:rPr>
        <w:t>地      址：唐山市路北区新华西道61号</w:t>
      </w:r>
    </w:p>
    <w:p>
      <w:pPr>
        <w:spacing w:line="360" w:lineRule="auto"/>
        <w:ind w:firstLine="420" w:firstLineChars="200"/>
        <w:rPr>
          <w:rFonts w:hint="eastAsia" w:ascii="宋体" w:hAnsi="宋体" w:cs="宋体"/>
          <w:iCs/>
          <w:szCs w:val="21"/>
        </w:rPr>
      </w:pPr>
      <w:r>
        <w:rPr>
          <w:rFonts w:hint="eastAsia" w:ascii="宋体" w:hAnsi="宋体" w:cs="宋体"/>
          <w:iCs/>
          <w:szCs w:val="21"/>
        </w:rPr>
        <w:t>招标代理机构名称：</w:t>
      </w:r>
      <w:r>
        <w:rPr>
          <w:rFonts w:hint="eastAsia" w:ascii="宋体" w:hAnsi="宋体" w:cs="宋体"/>
          <w:iCs/>
          <w:szCs w:val="21"/>
          <w:lang w:bidi="ar"/>
        </w:rPr>
        <w:t>公诚管理咨询有限公司</w:t>
      </w:r>
    </w:p>
    <w:p>
      <w:pPr>
        <w:spacing w:line="360" w:lineRule="auto"/>
        <w:ind w:firstLine="420" w:firstLineChars="200"/>
        <w:rPr>
          <w:rFonts w:hint="eastAsia" w:ascii="宋体" w:hAnsi="宋体" w:cs="宋体"/>
          <w:iCs/>
          <w:szCs w:val="21"/>
        </w:rPr>
      </w:pPr>
      <w:r>
        <w:rPr>
          <w:rFonts w:hint="eastAsia" w:ascii="宋体" w:hAnsi="宋体" w:cs="宋体"/>
          <w:iCs/>
          <w:szCs w:val="21"/>
        </w:rPr>
        <w:t>地    址：石家庄市高新区裕华东路311号星际中心A座15层</w:t>
      </w:r>
    </w:p>
    <w:p>
      <w:pPr>
        <w:spacing w:line="360" w:lineRule="auto"/>
        <w:ind w:firstLine="420" w:firstLineChars="200"/>
        <w:rPr>
          <w:rFonts w:hint="eastAsia" w:ascii="宋体" w:hAnsi="宋体"/>
          <w:iCs/>
          <w:sz w:val="22"/>
        </w:rPr>
      </w:pPr>
      <w:r>
        <w:rPr>
          <w:rFonts w:hint="eastAsia" w:ascii="宋体" w:hAnsi="宋体" w:cs="宋体"/>
          <w:iCs/>
          <w:szCs w:val="21"/>
        </w:rPr>
        <w:t>邮    编：</w:t>
      </w:r>
      <w:r>
        <w:rPr>
          <w:rFonts w:hint="eastAsia" w:ascii="宋体" w:hAnsi="宋体"/>
          <w:iCs/>
          <w:sz w:val="22"/>
        </w:rPr>
        <w:t>050000</w:t>
      </w:r>
    </w:p>
    <w:p>
      <w:pPr>
        <w:spacing w:line="360" w:lineRule="auto"/>
        <w:ind w:firstLine="420" w:firstLineChars="200"/>
        <w:rPr>
          <w:rFonts w:hint="eastAsia" w:ascii="宋体" w:hAnsi="宋体" w:cs="宋体"/>
          <w:iCs/>
          <w:szCs w:val="21"/>
        </w:rPr>
      </w:pPr>
      <w:r>
        <w:rPr>
          <w:rFonts w:hint="eastAsia" w:ascii="宋体" w:hAnsi="宋体" w:cs="宋体"/>
          <w:iCs/>
          <w:szCs w:val="21"/>
        </w:rPr>
        <w:t>联 系 人：董腾飞、张晨光、白一帆、宋晋刚、宗正月</w:t>
      </w:r>
    </w:p>
    <w:p>
      <w:pPr>
        <w:spacing w:line="360" w:lineRule="auto"/>
        <w:ind w:firstLine="420" w:firstLineChars="200"/>
        <w:rPr>
          <w:rFonts w:hint="eastAsia" w:ascii="宋体" w:hAnsi="宋体" w:cs="宋体"/>
          <w:iCs/>
          <w:szCs w:val="21"/>
        </w:rPr>
      </w:pPr>
      <w:r>
        <w:rPr>
          <w:rFonts w:hint="eastAsia" w:ascii="宋体" w:hAnsi="宋体" w:cs="宋体"/>
          <w:iCs/>
          <w:szCs w:val="21"/>
        </w:rPr>
        <w:t>电    话：15333217722、18131830709、18330115760</w:t>
      </w:r>
    </w:p>
    <w:p>
      <w:pPr>
        <w:spacing w:line="360" w:lineRule="auto"/>
        <w:ind w:firstLine="420" w:firstLineChars="200"/>
        <w:rPr>
          <w:rFonts w:hint="eastAsia" w:ascii="宋体" w:hAnsi="宋体" w:cs="宋体"/>
          <w:iCs/>
          <w:szCs w:val="21"/>
        </w:rPr>
      </w:pPr>
      <w:r>
        <w:rPr>
          <w:rFonts w:hint="eastAsia" w:ascii="宋体" w:hAnsi="宋体" w:cs="宋体"/>
          <w:iCs/>
          <w:szCs w:val="21"/>
        </w:rPr>
        <w:t>电子函件: 15333217722@163.com</w:t>
      </w:r>
    </w:p>
    <w:p>
      <w:pPr>
        <w:spacing w:line="360" w:lineRule="auto"/>
        <w:ind w:firstLine="420" w:firstLineChars="200"/>
        <w:rPr>
          <w:rFonts w:hint="eastAsia" w:ascii="宋体" w:hAnsi="宋体" w:cs="宋体"/>
          <w:iCs/>
          <w:szCs w:val="21"/>
        </w:rPr>
      </w:pPr>
      <w:r>
        <w:rPr>
          <w:rFonts w:hint="eastAsia" w:ascii="宋体" w:hAnsi="宋体" w:cs="宋体"/>
          <w:iCs/>
          <w:szCs w:val="21"/>
        </w:rPr>
        <w:t>异议联系人及联系方式：同招标代理机构联系人及联系方式</w:t>
      </w:r>
    </w:p>
    <w:bookmarkEnd w:id="1"/>
    <w:bookmarkEnd w:id="2"/>
    <w:bookmarkEnd w:id="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TeX Gyre Terme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TeX Gyre Termes">
    <w:panose1 w:val="00000500000000000000"/>
    <w:charset w:val="00"/>
    <w:family w:val="auto"/>
    <w:pitch w:val="default"/>
    <w:sig w:usb0="20000087" w:usb1="00000000" w:usb2="00000000" w:usb3="00000000" w:csb0="20000193" w:csb1="00000000"/>
  </w:font>
  <w:font w:name="等线 Light">
    <w:altName w:val="TeX Gyre Termes"/>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668"/>
    <w:rsid w:val="00227750"/>
    <w:rsid w:val="00636668"/>
    <w:rsid w:val="006679FC"/>
    <w:rsid w:val="00724FC3"/>
    <w:rsid w:val="007A135A"/>
    <w:rsid w:val="00BC5793"/>
    <w:rsid w:val="00FA0B71"/>
    <w:rsid w:val="B9FEE263"/>
    <w:rsid w:val="F9F6B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Times New Roman" w:hAnsi="Times New Roman" w:eastAsia="宋体" w:cs="Times New Roman"/>
      <w:kern w:val="2"/>
      <w:sz w:val="21"/>
      <w:szCs w:val="20"/>
      <w:lang w:val="en-US" w:eastAsia="zh-CN" w:bidi="ar-SA"/>
      <w14:ligatures w14:val="none"/>
    </w:rPr>
  </w:style>
  <w:style w:type="paragraph" w:styleId="3">
    <w:name w:val="heading 1"/>
    <w:basedOn w:val="1"/>
    <w:next w:val="1"/>
    <w:link w:val="19"/>
    <w:qFormat/>
    <w:uiPriority w:val="0"/>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4">
    <w:name w:val="heading 2"/>
    <w:basedOn w:val="1"/>
    <w:next w:val="1"/>
    <w:link w:val="20"/>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5">
    <w:name w:val="heading 3"/>
    <w:basedOn w:val="1"/>
    <w:next w:val="1"/>
    <w:link w:val="21"/>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6">
    <w:name w:val="heading 4"/>
    <w:basedOn w:val="1"/>
    <w:next w:val="1"/>
    <w:link w:val="22"/>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7">
    <w:name w:val="heading 5"/>
    <w:basedOn w:val="1"/>
    <w:next w:val="1"/>
    <w:link w:val="23"/>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szCs w:val="24"/>
      <w14:ligatures w14:val="standardContextual"/>
    </w:rPr>
  </w:style>
  <w:style w:type="paragraph" w:styleId="8">
    <w:name w:val="heading 6"/>
    <w:basedOn w:val="1"/>
    <w:next w:val="1"/>
    <w:link w:val="24"/>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szCs w:val="24"/>
      <w14:ligatures w14:val="standardContextual"/>
    </w:rPr>
  </w:style>
  <w:style w:type="paragraph" w:styleId="9">
    <w:name w:val="heading 7"/>
    <w:basedOn w:val="1"/>
    <w:next w:val="1"/>
    <w:link w:val="25"/>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8"/>
    <w:basedOn w:val="1"/>
    <w:next w:val="1"/>
    <w:link w:val="26"/>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1">
    <w:name w:val="heading 9"/>
    <w:basedOn w:val="1"/>
    <w:next w:val="1"/>
    <w:link w:val="27"/>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2"/>
    <w:basedOn w:val="1"/>
    <w:link w:val="39"/>
    <w:unhideWhenUsed/>
    <w:qFormat/>
    <w:uiPriority w:val="99"/>
    <w:pPr>
      <w:spacing w:after="120" w:line="480" w:lineRule="auto"/>
    </w:pPr>
  </w:style>
  <w:style w:type="paragraph" w:styleId="12">
    <w:name w:val="toc 3"/>
    <w:basedOn w:val="1"/>
    <w:next w:val="1"/>
    <w:qFormat/>
    <w:uiPriority w:val="0"/>
    <w:pPr>
      <w:tabs>
        <w:tab w:val="left" w:pos="1365"/>
        <w:tab w:val="right" w:leader="dot" w:pos="8693"/>
      </w:tabs>
      <w:spacing w:line="300" w:lineRule="auto"/>
      <w:ind w:left="839"/>
    </w:pPr>
    <w:rPr>
      <w:rFonts w:ascii="Calibri" w:hAnsi="Calibri"/>
      <w:szCs w:val="24"/>
    </w:rPr>
  </w:style>
  <w:style w:type="paragraph" w:styleId="13">
    <w:name w:val="footer"/>
    <w:basedOn w:val="1"/>
    <w:link w:val="38"/>
    <w:unhideWhenUsed/>
    <w:qFormat/>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4">
    <w:name w:val="header"/>
    <w:basedOn w:val="1"/>
    <w:link w:val="37"/>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5">
    <w:name w:val="Subtitle"/>
    <w:basedOn w:val="1"/>
    <w:next w:val="1"/>
    <w:link w:val="29"/>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6">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9">
    <w:name w:val="标题 1 字符"/>
    <w:basedOn w:val="18"/>
    <w:link w:val="3"/>
    <w:qFormat/>
    <w:uiPriority w:val="0"/>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6"/>
    <w:semiHidden/>
    <w:qFormat/>
    <w:uiPriority w:val="9"/>
    <w:rPr>
      <w:rFonts w:cstheme="majorBidi"/>
      <w:color w:val="2F5597" w:themeColor="accent1" w:themeShade="BF"/>
      <w:sz w:val="28"/>
      <w:szCs w:val="28"/>
    </w:rPr>
  </w:style>
  <w:style w:type="character" w:customStyle="1" w:styleId="23">
    <w:name w:val="标题 5 字符"/>
    <w:basedOn w:val="18"/>
    <w:link w:val="7"/>
    <w:semiHidden/>
    <w:qFormat/>
    <w:uiPriority w:val="9"/>
    <w:rPr>
      <w:rFonts w:cstheme="majorBidi"/>
      <w:color w:val="2F5597" w:themeColor="accent1" w:themeShade="BF"/>
      <w:sz w:val="24"/>
    </w:rPr>
  </w:style>
  <w:style w:type="character" w:customStyle="1" w:styleId="24">
    <w:name w:val="标题 6 字符"/>
    <w:basedOn w:val="18"/>
    <w:link w:val="8"/>
    <w:semiHidden/>
    <w:qFormat/>
    <w:uiPriority w:val="9"/>
    <w:rPr>
      <w:rFonts w:cstheme="majorBidi"/>
      <w:b/>
      <w:bCs/>
      <w:color w:val="2F5597" w:themeColor="accent1" w:themeShade="BF"/>
    </w:rPr>
  </w:style>
  <w:style w:type="character" w:customStyle="1" w:styleId="25">
    <w:name w:val="标题 7 字符"/>
    <w:basedOn w:val="1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78" w:lineRule="auto"/>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szCs w:val="24"/>
      <w14:ligatures w14:val="standardContextual"/>
    </w:r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szCs w:val="24"/>
      <w14:ligatures w14:val="standardContextual"/>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4"/>
    <w:qFormat/>
    <w:uiPriority w:val="99"/>
    <w:rPr>
      <w:sz w:val="18"/>
      <w:szCs w:val="18"/>
    </w:rPr>
  </w:style>
  <w:style w:type="character" w:customStyle="1" w:styleId="38">
    <w:name w:val="页脚 字符"/>
    <w:basedOn w:val="18"/>
    <w:link w:val="13"/>
    <w:qFormat/>
    <w:uiPriority w:val="99"/>
    <w:rPr>
      <w:sz w:val="18"/>
      <w:szCs w:val="18"/>
    </w:rPr>
  </w:style>
  <w:style w:type="character" w:customStyle="1" w:styleId="39">
    <w:name w:val="正文文本 2 字符"/>
    <w:basedOn w:val="18"/>
    <w:link w:val="2"/>
    <w:qFormat/>
    <w:uiPriority w:val="99"/>
    <w:rPr>
      <w:rFonts w:ascii="Times New Roman" w:hAnsi="Times New Roman" w:eastAsia="宋体" w:cs="Times New Roman"/>
      <w:sz w:val="21"/>
      <w:szCs w:val="20"/>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502</Words>
  <Characters>2865</Characters>
  <Lines>23</Lines>
  <Paragraphs>6</Paragraphs>
  <TotalTime>13</TotalTime>
  <ScaleCrop>false</ScaleCrop>
  <LinksUpToDate>false</LinksUpToDate>
  <CharactersWithSpaces>3361</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2026-08-08T02:22:00Z</dcterms:created>
  <dc:creator>tf D</dc:creator>
  <cp:lastModifiedBy>胡松华</cp:lastModifiedBy>
  <dcterms:modified xsi:type="dcterms:W3CDTF">2026-09-16T08:22:43Z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7137AA82DF959EC553E1A96ACAEA9801</vt:lpwstr>
  </property>
</Properties>
</file>